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rFonts w:ascii="Cambria" w:hAnsi="Cambria" w:eastAsia="" w:cs="" w:asciiTheme="majorHAnsi" w:cstheme="majorBidi" w:eastAsiaTheme="majorEastAsia" w:hAnsiTheme="majorHAnsi"/>
          <w:sz w:val="32"/>
          <w:szCs w:val="32"/>
        </w:rPr>
      </w:pPr>
      <w:r>
        <w:rPr>
          <w:rFonts w:eastAsia="" w:cs="" w:cstheme="majorBidi" w:eastAsiaTheme="majorEastAsia" w:ascii="Cambria" w:hAnsi="Cambria"/>
          <w:sz w:val="32"/>
          <w:szCs w:val="32"/>
        </w:rPr>
      </w:r>
    </w:p>
    <w:p>
      <w:pPr>
        <w:pStyle w:val="Header"/>
        <w:jc w:val="center"/>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ENTI DI DIRITTO PRIVATO IN CONTROLLO PUBBLICO</w:t>
      </w:r>
      <w:r>
        <w:rPr>
          <w:rStyle w:val="FootnoteReference"/>
          <w:sz w:val="20"/>
        </w:rPr>
        <w:footnoteReference w:id="2"/>
      </w:r>
    </w:p>
    <w:p>
      <w:pPr>
        <w:pStyle w:val="Header"/>
        <w:jc w:val="center"/>
        <w:rPr/>
      </w:pPr>
      <w:r>
        <w:rPr/>
      </w:r>
    </w:p>
    <w:p>
      <w:pPr>
        <w:pStyle w:val="Normal"/>
        <w:spacing w:lineRule="auto" w:line="360"/>
        <w:jc w:val="both"/>
        <w:rPr>
          <w:rFonts w:ascii="Garamond" w:hAnsi="Garamond" w:cs="Times New Roman"/>
          <w:sz w:val="24"/>
          <w:szCs w:val="24"/>
        </w:rPr>
      </w:pPr>
      <w:r>
        <w:rPr>
          <w:rFonts w:cs="Times New Roman" w:ascii="Garamond" w:hAnsi="Garamond"/>
          <w:sz w:val="24"/>
          <w:szCs w:val="24"/>
        </w:rPr>
      </w:r>
    </w:p>
    <w:p>
      <w:pPr>
        <w:pStyle w:val="Normal"/>
        <w:jc w:val="both"/>
        <w:rPr>
          <w:rFonts w:ascii="Titillium" w:hAnsi="Titillium" w:cs="Titillium Web"/>
          <w:sz w:val="20"/>
          <w:szCs w:val="20"/>
        </w:rPr>
      </w:pPr>
      <w:r>
        <w:rPr>
          <w:rFonts w:cs="Titillium Web" w:ascii="Titillium" w:hAnsi="Titillium"/>
          <w:sz w:val="20"/>
          <w:szCs w:val="20"/>
        </w:rPr>
        <w:t>Il/La sottoscritto/a ______________________________ con riferimento all’incarico di _______________________________________presso ______________________________ ,</w:t>
      </w:r>
      <w:r>
        <w:rPr>
          <w:sz w:val="20"/>
        </w:rPr>
        <w:t xml:space="preserve"> </w:t>
      </w:r>
      <w:r>
        <w:rPr>
          <w:rFonts w:cs="Titillium Web" w:ascii="Titillium" w:hAnsi="Titillium"/>
          <w:sz w:val="20"/>
          <w:szCs w:val="20"/>
        </w:rPr>
        <w:t xml:space="preserve">ai sensi delle disposizioni di cui agli articoli 46 e 47 del D.P.R. 28 dicembre 2000, n. 445 “Testo unico delle disposizioni legislative e regolamentari in materia di documentazione amministrativa”, nonché ai sensi dell’art. 20 del d.lgs. n. 39 dell’08.04.2013, consapevole delle responsabilità penali in caso di dichiarazioni mendaci, falsità in atti e uso di atti falsi, di cui agli articoli 75 e 76 del citato D.P.R. n. 445/2000, nonché delle sanzioni di cui all’art. 20, comma 5, del d.lgs. n. 39 dell’08.04.2013 </w:t>
      </w:r>
    </w:p>
    <w:p>
      <w:pPr>
        <w:pStyle w:val="Normal"/>
        <w:spacing w:lineRule="auto" w:line="360"/>
        <w:jc w:val="center"/>
        <w:rPr>
          <w:rFonts w:ascii="Titillium" w:hAnsi="Titillium" w:cs="Titillium Web"/>
          <w:sz w:val="20"/>
          <w:szCs w:val="20"/>
        </w:rPr>
      </w:pPr>
      <w:r>
        <w:rPr>
          <w:rFonts w:cs="Titillium Web" w:ascii="Titillium" w:hAnsi="Titillium"/>
          <w:b/>
          <w:bCs/>
          <w:sz w:val="20"/>
          <w:szCs w:val="20"/>
        </w:rPr>
        <w:t>DICHIARA</w:t>
      </w:r>
      <w:r>
        <w:rPr>
          <w:rStyle w:val="FootnoteReference"/>
          <w:rFonts w:ascii="Titillium" w:hAnsi="Titillium"/>
          <w:sz w:val="20"/>
        </w:rPr>
        <w:footnoteReference w:id="3"/>
      </w:r>
    </w:p>
    <w:p>
      <w:pPr>
        <w:pStyle w:val="Normal"/>
        <w:spacing w:lineRule="auto" w:line="360"/>
        <w:jc w:val="center"/>
        <w:rPr>
          <w:rFonts w:ascii="Titillium" w:hAnsi="Titillium" w:cs="Titillium Web"/>
          <w:sz w:val="20"/>
          <w:szCs w:val="20"/>
        </w:rPr>
      </w:pPr>
      <w:r>
        <w:rPr>
          <w:rFonts w:cs="Titillium Web" w:ascii="Titillium" w:hAnsi="Titillium"/>
          <w:sz w:val="20"/>
          <w:szCs w:val="20"/>
        </w:rPr>
      </w:r>
    </w:p>
    <w:p>
      <w:pPr>
        <w:pStyle w:val="Normal"/>
        <w:tabs>
          <w:tab w:val="clear" w:pos="708"/>
          <w:tab w:val="left" w:pos="142" w:leader="none"/>
        </w:tabs>
        <w:spacing w:lineRule="auto" w:line="360"/>
        <w:jc w:val="both"/>
        <w:rPr>
          <w:rFonts w:ascii="Titillium" w:hAnsi="Titillium" w:cs="Titillium Web"/>
          <w:sz w:val="20"/>
          <w:szCs w:val="20"/>
        </w:rPr>
      </w:pPr>
      <w:r>
        <w:rPr>
          <w:rFonts w:cs="Titillium Web" w:ascii="Titillium" w:hAnsi="Titillium"/>
          <w:sz w:val="20"/>
          <w:szCs w:val="20"/>
        </w:rPr>
        <w:t>l’</w:t>
      </w:r>
      <w:r>
        <w:rPr>
          <w:rFonts w:cs="Titillium Web" w:ascii="Titillium" w:hAnsi="Titillium"/>
          <w:b/>
          <w:bCs/>
          <w:sz w:val="20"/>
          <w:szCs w:val="20"/>
        </w:rPr>
        <w:t>insussistenza</w:t>
      </w:r>
      <w:r>
        <w:rPr>
          <w:rFonts w:cs="Titillium Web" w:ascii="Titillium" w:hAnsi="Titillium"/>
          <w:sz w:val="20"/>
          <w:szCs w:val="20"/>
        </w:rPr>
        <w:t xml:space="preserve"> delle seguenti situazioni di </w:t>
      </w:r>
      <w:r>
        <w:rPr>
          <w:rFonts w:cs="Titillium Web" w:ascii="Titillium" w:hAnsi="Titillium"/>
          <w:b/>
          <w:sz w:val="20"/>
          <w:szCs w:val="20"/>
        </w:rPr>
        <w:t>INCOMPATIBILITA’</w:t>
      </w:r>
      <w:r>
        <w:rPr>
          <w:rFonts w:cs="Titillium Web" w:ascii="Titillium" w:hAnsi="Titillium"/>
          <w:sz w:val="20"/>
          <w:szCs w:val="20"/>
        </w:rPr>
        <w:t xml:space="preserve"> disciplinate dal d.lgs. n. 39/2013 in ragione della tipologia di incarico assunto:</w:t>
      </w:r>
    </w:p>
    <w:p>
      <w:pPr>
        <w:pStyle w:val="ListParagraph"/>
        <w:numPr>
          <w:ilvl w:val="0"/>
          <w:numId w:val="2"/>
        </w:numPr>
        <w:tabs>
          <w:tab w:val="clear" w:pos="708"/>
          <w:tab w:val="left" w:pos="142" w:leader="none"/>
        </w:tabs>
        <w:spacing w:lineRule="auto" w:line="360"/>
        <w:ind w:hanging="426" w:start="426"/>
        <w:jc w:val="both"/>
        <w:rPr>
          <w:rFonts w:ascii="Titillium" w:hAnsi="Titillium" w:cs="Titillium Web"/>
          <w:b/>
          <w:bCs/>
          <w:sz w:val="20"/>
          <w:szCs w:val="20"/>
          <w:u w:val="single"/>
        </w:rPr>
      </w:pPr>
      <w:bookmarkStart w:id="0" w:name="_Hlk178075844"/>
      <w:r>
        <w:rPr>
          <w:rFonts w:cs="Titillium Web" w:ascii="Titillium" w:hAnsi="Titillium"/>
          <w:b/>
          <w:bCs/>
          <w:sz w:val="20"/>
          <w:szCs w:val="20"/>
          <w:u w:val="single"/>
        </w:rPr>
        <w:t xml:space="preserve">Sezione valida per gli incarichi di </w:t>
      </w:r>
      <w:bookmarkEnd w:id="0"/>
      <w:r>
        <w:rPr>
          <w:rFonts w:cs="Titillium Web" w:ascii="Titillium" w:hAnsi="Titillium"/>
          <w:b/>
          <w:bCs/>
          <w:sz w:val="20"/>
          <w:szCs w:val="20"/>
          <w:u w:val="single"/>
        </w:rPr>
        <w:t>Amministratore di ente di diritto privato in controllo pubblico</w:t>
      </w:r>
    </w:p>
    <w:p>
      <w:pPr>
        <w:pStyle w:val="ListParagraph"/>
        <w:tabs>
          <w:tab w:val="clear" w:pos="708"/>
          <w:tab w:val="left" w:pos="142" w:leader="none"/>
        </w:tabs>
        <w:spacing w:lineRule="auto" w:line="360"/>
        <w:jc w:val="both"/>
        <w:rPr>
          <w:rFonts w:ascii="Titillium" w:hAnsi="Titillium" w:cs="Titillium Web"/>
          <w:b/>
          <w:bCs/>
          <w:sz w:val="20"/>
          <w:szCs w:val="20"/>
          <w:u w:val="single"/>
        </w:rPr>
      </w:pPr>
      <w:r>
        <w:rPr>
          <w:rFonts w:cs="Titillium Web" w:ascii="Titillium" w:hAnsi="Titillium"/>
          <w:b/>
          <w:bCs/>
          <w:sz w:val="20"/>
          <w:szCs w:val="20"/>
          <w:u w:val="single"/>
        </w:rPr>
      </w:r>
    </w:p>
    <w:p>
      <w:pPr>
        <w:pStyle w:val="ListParagraph"/>
        <w:numPr>
          <w:ilvl w:val="1"/>
          <w:numId w:val="4"/>
        </w:numPr>
        <w:tabs>
          <w:tab w:val="clear" w:pos="708"/>
          <w:tab w:val="left" w:pos="142" w:leader="none"/>
        </w:tabs>
        <w:spacing w:lineRule="auto" w:line="360"/>
        <w:ind w:firstLine="66" w:start="720"/>
        <w:jc w:val="both"/>
        <w:rPr>
          <w:rFonts w:ascii="Titillium" w:hAnsi="Titillium" w:cs="Titillium Web"/>
          <w:i/>
          <w:iCs/>
          <w:sz w:val="20"/>
          <w:szCs w:val="20"/>
        </w:rPr>
      </w:pPr>
      <w:r>
        <w:rPr>
          <w:rFonts w:cs="Titillium Web" w:ascii="Titillium" w:hAnsi="Titillium"/>
          <w:b/>
          <w:bCs/>
          <w:i/>
          <w:iCs/>
          <w:sz w:val="20"/>
          <w:szCs w:val="20"/>
        </w:rPr>
        <w:t>Incompatibilit</w:t>
      </w:r>
      <w:r>
        <w:rPr>
          <w:rFonts w:cs="Titillium" w:ascii="Titillium" w:hAnsi="Titillium"/>
          <w:b/>
          <w:bCs/>
          <w:i/>
          <w:iCs/>
          <w:sz w:val="20"/>
          <w:szCs w:val="20"/>
        </w:rPr>
        <w:t>à</w:t>
      </w:r>
      <w:r>
        <w:rPr>
          <w:rFonts w:cs="Titillium Web" w:ascii="Titillium" w:hAnsi="Titillium"/>
          <w:b/>
          <w:bCs/>
          <w:i/>
          <w:iCs/>
          <w:sz w:val="20"/>
          <w:szCs w:val="20"/>
        </w:rPr>
        <w:t xml:space="preserve"> con lo svolgimento di attivit</w:t>
      </w:r>
      <w:r>
        <w:rPr>
          <w:rFonts w:cs="Titillium" w:ascii="Titillium" w:hAnsi="Titillium"/>
          <w:b/>
          <w:bCs/>
          <w:i/>
          <w:iCs/>
          <w:sz w:val="20"/>
          <w:szCs w:val="20"/>
        </w:rPr>
        <w:t>à</w:t>
      </w:r>
      <w:r>
        <w:rPr>
          <w:rFonts w:cs="Titillium Web" w:ascii="Titillium" w:hAnsi="Titillium"/>
          <w:b/>
          <w:bCs/>
          <w:i/>
          <w:iCs/>
          <w:sz w:val="20"/>
          <w:szCs w:val="20"/>
        </w:rPr>
        <w:t xml:space="preserve"> professionali:</w:t>
      </w:r>
    </w:p>
    <w:p>
      <w:pPr>
        <w:pStyle w:val="ListParagraph"/>
        <w:tabs>
          <w:tab w:val="clear" w:pos="708"/>
          <w:tab w:val="left" w:pos="142" w:leader="none"/>
        </w:tabs>
        <w:spacing w:lineRule="auto" w:line="360"/>
        <w:ind w:start="360"/>
        <w:jc w:val="both"/>
        <w:rPr>
          <w:rFonts w:ascii="Titillium" w:hAnsi="Titillium" w:cs="Titillium Web"/>
          <w:sz w:val="20"/>
          <w:szCs w:val="20"/>
        </w:rPr>
      </w:pPr>
      <w:r>
        <w:rPr>
          <w:rFonts w:cs="Titillium Web" w:ascii="Titillium" w:hAnsi="Titillium"/>
          <w:sz w:val="20"/>
          <w:szCs w:val="20"/>
        </w:rPr>
      </w:r>
    </w:p>
    <w:p>
      <w:pPr>
        <w:pStyle w:val="ListParagraph"/>
        <w:numPr>
          <w:ilvl w:val="0"/>
          <w:numId w:val="1"/>
        </w:numPr>
        <w:spacing w:before="0" w:after="200"/>
        <w:ind w:hanging="283" w:start="709"/>
        <w:contextualSpacing w:val="false"/>
        <w:jc w:val="both"/>
        <w:rPr>
          <w:rFonts w:ascii="Titillium" w:hAnsi="Titillium"/>
          <w:sz w:val="20"/>
        </w:rPr>
      </w:pPr>
      <w:r>
        <mc:AlternateContent>
          <mc:Choice Requires="wps">
            <w:drawing>
              <wp:anchor distT="12700" distB="12700" distL="13335" distR="12065" simplePos="0" relativeHeight="2" behindDoc="0" locked="0" layoutInCell="1" allowOverlap="1" wp14:anchorId="21D0CD78">
                <wp:simplePos x="0" y="0"/>
                <wp:positionH relativeFrom="column">
                  <wp:posOffset>267335</wp:posOffset>
                </wp:positionH>
                <wp:positionV relativeFrom="paragraph">
                  <wp:posOffset>36195</wp:posOffset>
                </wp:positionV>
                <wp:extent cx="92075" cy="101600"/>
                <wp:effectExtent l="13335" t="12700" r="12065" b="12700"/>
                <wp:wrapNone/>
                <wp:docPr id="1" name="Rettangolo 2"/>
                <a:graphic xmlns:a="http://schemas.openxmlformats.org/drawingml/2006/main">
                  <a:graphicData uri="http://schemas.microsoft.com/office/word/2010/wordprocessingShape">
                    <wps:wsp>
                      <wps:cNvSpPr/>
                      <wps:spPr>
                        <a:xfrm>
                          <a:off x="0" y="0"/>
                          <a:ext cx="92160" cy="101520"/>
                        </a:xfrm>
                        <a:prstGeom prst="rect">
                          <a:avLst/>
                        </a:prstGeom>
                        <a:solidFill>
                          <a:schemeClr val="bg1"/>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fillcolor="white" stroked="t" o:allowincell="f" style="position:absolute;margin-left:21.05pt;margin-top:2.85pt;width:7.2pt;height:7.95pt;mso-wrap-style:none;v-text-anchor:middle" wp14:anchorId="21D0CD78">
                <v:fill o:detectmouseclick="t" type="solid" color2="black"/>
                <v:stroke color="#3a5f8b" weight="25560" joinstyle="round" endcap="flat"/>
                <w10:wrap type="none"/>
              </v:rect>
            </w:pict>
          </mc:Fallback>
        </mc:AlternateContent>
      </w:r>
      <w:r>
        <w:rPr>
          <w:rFonts w:ascii="Titillium" w:hAnsi="Titillium"/>
          <w:sz w:val="20"/>
        </w:rPr>
        <w:t xml:space="preserve"> </w:t>
      </w:r>
      <w:r>
        <w:rPr>
          <w:rFonts w:ascii="Titillium" w:hAnsi="Titillium"/>
          <w:sz w:val="20"/>
        </w:rPr>
        <w:t>Insussistenza ipotesi art. 9, comma 2</w:t>
      </w:r>
      <w:r>
        <w:rPr>
          <w:rStyle w:val="FootnoteReference"/>
          <w:rFonts w:ascii="Titillium" w:hAnsi="Titillium"/>
          <w:sz w:val="20"/>
        </w:rPr>
        <w:footnoteReference w:id="4"/>
      </w:r>
      <w:r>
        <w:rPr>
          <w:rFonts w:ascii="Titillium" w:hAnsi="Titillium"/>
          <w:sz w:val="20"/>
        </w:rPr>
        <w:t>, del d.lgs. n. 39/2013;</w:t>
      </w:r>
    </w:p>
    <w:p>
      <w:pPr>
        <w:pStyle w:val="Normal"/>
        <w:jc w:val="both"/>
        <w:rPr>
          <w:rFonts w:ascii="Titillium" w:hAnsi="Titillium"/>
          <w:sz w:val="20"/>
        </w:rPr>
      </w:pPr>
      <w:r>
        <w:rPr>
          <w:rFonts w:ascii="Titillium" w:hAnsi="Titillium"/>
          <w:sz w:val="20"/>
        </w:rPr>
      </w:r>
    </w:p>
    <w:p>
      <w:pPr>
        <w:pStyle w:val="Normal"/>
        <w:jc w:val="both"/>
        <w:rPr>
          <w:rFonts w:ascii="Titillium" w:hAnsi="Titillium"/>
          <w:sz w:val="20"/>
        </w:rPr>
      </w:pPr>
      <w:r>
        <w:rPr>
          <w:rFonts w:ascii="Titillium" w:hAnsi="Titillium"/>
          <w:sz w:val="20"/>
        </w:rPr>
      </w:r>
    </w:p>
    <w:p>
      <w:pPr>
        <w:pStyle w:val="Normal"/>
        <w:jc w:val="both"/>
        <w:rPr>
          <w:rFonts w:ascii="Titillium" w:hAnsi="Titillium"/>
          <w:sz w:val="20"/>
        </w:rPr>
      </w:pPr>
      <w:r>
        <w:rPr>
          <w:rFonts w:ascii="Titillium" w:hAnsi="Titillium"/>
          <w:sz w:val="20"/>
        </w:rPr>
      </w:r>
    </w:p>
    <w:p>
      <w:pPr>
        <w:pStyle w:val="ListParagraph"/>
        <w:numPr>
          <w:ilvl w:val="1"/>
          <w:numId w:val="3"/>
        </w:numPr>
        <w:ind w:firstLine="66" w:start="720"/>
        <w:jc w:val="both"/>
        <w:rPr>
          <w:rFonts w:ascii="Titillium" w:hAnsi="Titillium"/>
          <w:i/>
          <w:iCs/>
          <w:sz w:val="20"/>
        </w:rPr>
      </w:pPr>
      <w:r>
        <w:rPr>
          <w:rFonts w:ascii="Titillium" w:hAnsi="Titillium"/>
          <w:b/>
          <w:bCs/>
          <w:i/>
          <w:iCs/>
          <w:sz w:val="20"/>
        </w:rPr>
        <w:t>Incompatibilità con le cariche di componenti degli organi di indirizzo politico nelle amministrazioni statali, regionali e locali:</w:t>
      </w:r>
    </w:p>
    <w:p>
      <w:pPr>
        <w:pStyle w:val="ListParagraph"/>
        <w:ind w:start="360"/>
        <w:jc w:val="both"/>
        <w:rPr>
          <w:rFonts w:ascii="Titillium" w:hAnsi="Titillium"/>
          <w:sz w:val="20"/>
        </w:rPr>
      </w:pPr>
      <w:r>
        <w:rPr>
          <w:rFonts w:ascii="Titillium" w:hAnsi="Titillium"/>
          <w:sz w:val="20"/>
        </w:rPr>
      </w:r>
    </w:p>
    <w:p>
      <w:pPr>
        <w:pStyle w:val="ListParagraph"/>
        <w:numPr>
          <w:ilvl w:val="0"/>
          <w:numId w:val="1"/>
        </w:numPr>
        <w:spacing w:before="0" w:after="200"/>
        <w:ind w:hanging="283" w:start="709"/>
        <w:contextualSpacing w:val="false"/>
        <w:jc w:val="both"/>
        <w:rPr>
          <w:rFonts w:ascii="Titillium" w:hAnsi="Titillium"/>
          <w:strike/>
          <w:sz w:val="20"/>
        </w:rPr>
      </w:pPr>
      <w:bookmarkStart w:id="1" w:name="_Hlk178075885"/>
      <w:r>
        <w:rPr>
          <w:rFonts w:ascii="Titillium" w:hAnsi="Titillium"/>
          <w:sz w:val="20"/>
        </w:rPr>
        <w:t xml:space="preserve">Insussistenza </w:t>
      </w:r>
      <w:r>
        <mc:AlternateContent>
          <mc:Choice Requires="wps">
            <w:drawing>
              <wp:anchor distT="12700" distB="12700" distL="13335" distR="12065" simplePos="0" relativeHeight="4" behindDoc="0" locked="0" layoutInCell="1" allowOverlap="1" wp14:anchorId="7FEC5A7F">
                <wp:simplePos x="0" y="0"/>
                <wp:positionH relativeFrom="column">
                  <wp:posOffset>285750</wp:posOffset>
                </wp:positionH>
                <wp:positionV relativeFrom="paragraph">
                  <wp:posOffset>33020</wp:posOffset>
                </wp:positionV>
                <wp:extent cx="92075" cy="101600"/>
                <wp:effectExtent l="13335" t="12700" r="12065" b="12700"/>
                <wp:wrapNone/>
                <wp:docPr id="2" name="Rettangolo 12741748"/>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pt;margin-top:2.6pt;width:7.2pt;height:7.95pt;mso-wrap-style:none;v-text-anchor:middle" wp14:anchorId="7FEC5A7F">
                <v:fill o:detectmouseclick="t" type="solid" color2="black"/>
                <v:stroke color="#3a5f8b" weight="25560" joinstyle="round" endcap="flat"/>
                <w10:wrap type="none"/>
              </v:rect>
            </w:pict>
          </mc:Fallback>
        </mc:AlternateContent>
      </w:r>
      <w:r>
        <w:rPr>
          <w:rFonts w:ascii="Titillium" w:hAnsi="Titillium"/>
          <w:sz w:val="20"/>
        </w:rPr>
        <w:t xml:space="preserve">ipotesi </w:t>
      </w:r>
      <w:bookmarkEnd w:id="1"/>
      <w:r>
        <w:rPr>
          <w:rFonts w:ascii="Titillium" w:hAnsi="Titillium"/>
          <w:sz w:val="20"/>
        </w:rPr>
        <w:t xml:space="preserve">art. 13, comma 1 </w:t>
      </w:r>
      <w:r>
        <w:rPr>
          <w:rStyle w:val="FootnoteReference"/>
          <w:rFonts w:ascii="Titillium" w:hAnsi="Titillium"/>
          <w:sz w:val="20"/>
        </w:rPr>
        <w:footnoteReference w:id="5"/>
      </w:r>
      <w:r>
        <w:rPr>
          <w:rFonts w:ascii="Titillium" w:hAnsi="Titillium"/>
          <w:sz w:val="20"/>
        </w:rPr>
        <w:t>, del d.lgs. n. 39/2013</w:t>
      </w:r>
      <w:r>
        <w:rPr>
          <w:rFonts w:ascii="Titillium" w:hAnsi="Titillium"/>
          <w:strike/>
          <w:sz w:val="20"/>
        </w:rPr>
        <w:t>;</w:t>
      </w:r>
    </w:p>
    <w:p>
      <w:pPr>
        <w:pStyle w:val="ListParagraph"/>
        <w:numPr>
          <w:ilvl w:val="0"/>
          <w:numId w:val="1"/>
        </w:numPr>
        <w:spacing w:before="0" w:after="200"/>
        <w:ind w:hanging="283" w:start="709"/>
        <w:contextualSpacing w:val="false"/>
        <w:jc w:val="both"/>
        <w:rPr>
          <w:rFonts w:ascii="Titillium" w:hAnsi="Titillium"/>
          <w:sz w:val="20"/>
        </w:rPr>
      </w:pPr>
      <w:r>
        <w:rPr>
          <w:rFonts w:ascii="Titillium" w:hAnsi="Titillium"/>
          <w:sz w:val="20"/>
        </w:rPr>
        <w:t xml:space="preserve">Insussistenza </w:t>
      </w:r>
      <w:r>
        <mc:AlternateContent>
          <mc:Choice Requires="wps">
            <w:drawing>
              <wp:anchor distT="12700" distB="12700" distL="13335" distR="12065" simplePos="0" relativeHeight="6" behindDoc="0" locked="0" layoutInCell="1" allowOverlap="1" wp14:anchorId="493618B9">
                <wp:simplePos x="0" y="0"/>
                <wp:positionH relativeFrom="column">
                  <wp:posOffset>285750</wp:posOffset>
                </wp:positionH>
                <wp:positionV relativeFrom="paragraph">
                  <wp:posOffset>33020</wp:posOffset>
                </wp:positionV>
                <wp:extent cx="92075" cy="101600"/>
                <wp:effectExtent l="13335" t="12700" r="12065" b="12700"/>
                <wp:wrapNone/>
                <wp:docPr id="3" name="Rettangolo 455898790"/>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pt;margin-top:2.6pt;width:7.2pt;height:7.95pt;mso-wrap-style:none;v-text-anchor:middle" wp14:anchorId="493618B9">
                <v:fill o:detectmouseclick="t" type="solid" color2="black"/>
                <v:stroke color="#3a5f8b" weight="25560" joinstyle="round" endcap="flat"/>
                <w10:wrap type="none"/>
              </v:rect>
            </w:pict>
          </mc:Fallback>
        </mc:AlternateContent>
      </w:r>
      <w:r>
        <w:rPr>
          <w:rFonts w:ascii="Titillium" w:hAnsi="Titillium"/>
          <w:sz w:val="20"/>
        </w:rPr>
        <w:t xml:space="preserve">ipotesi art. 13, comma 2 </w:t>
      </w:r>
      <w:r>
        <w:rPr>
          <w:rStyle w:val="FootnoteReference"/>
          <w:rFonts w:ascii="Titillium" w:hAnsi="Titillium"/>
          <w:sz w:val="20"/>
        </w:rPr>
        <w:footnoteReference w:id="6"/>
      </w:r>
      <w:r>
        <w:rPr>
          <w:rFonts w:ascii="Titillium" w:hAnsi="Titillium"/>
          <w:sz w:val="20"/>
        </w:rPr>
        <w:t>, del d.lgs. n. 39/2013 se l’incarico si riveste presso un ente di livello regionale;</w:t>
      </w:r>
    </w:p>
    <w:p>
      <w:pPr>
        <w:pStyle w:val="ListParagraph"/>
        <w:numPr>
          <w:ilvl w:val="0"/>
          <w:numId w:val="1"/>
        </w:numPr>
        <w:spacing w:before="0" w:after="200"/>
        <w:ind w:hanging="283" w:start="709"/>
        <w:contextualSpacing w:val="false"/>
        <w:jc w:val="both"/>
        <w:rPr>
          <w:rFonts w:ascii="Titillium" w:hAnsi="Titillium"/>
          <w:sz w:val="20"/>
        </w:rPr>
      </w:pPr>
      <w:r>
        <w:rPr>
          <w:rFonts w:ascii="Titillium" w:hAnsi="Titillium"/>
          <w:sz w:val="20"/>
        </w:rPr>
        <w:t xml:space="preserve">Insussistenza ipotesi </w:t>
      </w:r>
      <w:r>
        <mc:AlternateContent>
          <mc:Choice Requires="wps">
            <w:drawing>
              <wp:anchor distT="12700" distB="12700" distL="13335" distR="12065" simplePos="0" relativeHeight="5" behindDoc="0" locked="0" layoutInCell="1" allowOverlap="1" wp14:anchorId="4C7D926A">
                <wp:simplePos x="0" y="0"/>
                <wp:positionH relativeFrom="column">
                  <wp:posOffset>286385</wp:posOffset>
                </wp:positionH>
                <wp:positionV relativeFrom="paragraph">
                  <wp:posOffset>25400</wp:posOffset>
                </wp:positionV>
                <wp:extent cx="92075" cy="101600"/>
                <wp:effectExtent l="13335" t="12700" r="12065" b="12700"/>
                <wp:wrapNone/>
                <wp:docPr id="4" name="Rettangolo 1507185719"/>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5pt;margin-top:2pt;width:7.2pt;height:7.95pt;mso-wrap-style:none;v-text-anchor:middle" wp14:anchorId="4C7D926A">
                <v:fill o:detectmouseclick="t" type="solid" color2="black"/>
                <v:stroke color="#3a5f8b" weight="25560" joinstyle="round" endcap="flat"/>
                <w10:wrap type="none"/>
              </v:rect>
            </w:pict>
          </mc:Fallback>
        </mc:AlternateContent>
      </w:r>
      <w:r>
        <w:rPr>
          <w:rFonts w:ascii="Titillium" w:hAnsi="Titillium"/>
          <w:sz w:val="20"/>
        </w:rPr>
        <w:t xml:space="preserve">art. 13, comma 3 </w:t>
      </w:r>
      <w:r>
        <w:rPr>
          <w:rStyle w:val="FootnoteReference"/>
          <w:rFonts w:ascii="Titillium" w:hAnsi="Titillium"/>
          <w:sz w:val="20"/>
        </w:rPr>
        <w:footnoteReference w:id="7"/>
      </w:r>
      <w:r>
        <w:rPr>
          <w:rFonts w:ascii="Titillium" w:hAnsi="Titillium"/>
          <w:sz w:val="20"/>
        </w:rPr>
        <w:t>, del d.lgs. n. 39/2013 se l’incarico si riveste presso un ente di livello locale.</w:t>
      </w:r>
    </w:p>
    <w:p>
      <w:pPr>
        <w:pStyle w:val="ListParagraph"/>
        <w:spacing w:before="0" w:after="200"/>
        <w:ind w:start="709"/>
        <w:contextualSpacing w:val="false"/>
        <w:jc w:val="both"/>
        <w:rPr>
          <w:rFonts w:ascii="Titillium" w:hAnsi="Titillium"/>
          <w:sz w:val="20"/>
        </w:rPr>
      </w:pPr>
      <w:r>
        <w:rPr>
          <w:rFonts w:ascii="Titillium" w:hAnsi="Titillium"/>
          <w:sz w:val="20"/>
        </w:rPr>
      </w:r>
    </w:p>
    <w:p>
      <w:pPr>
        <w:pStyle w:val="ListParagraph"/>
        <w:numPr>
          <w:ilvl w:val="0"/>
          <w:numId w:val="3"/>
        </w:numPr>
        <w:tabs>
          <w:tab w:val="clear" w:pos="708"/>
          <w:tab w:val="left" w:pos="142" w:leader="none"/>
        </w:tabs>
        <w:spacing w:lineRule="auto" w:line="360"/>
        <w:jc w:val="both"/>
        <w:rPr>
          <w:rFonts w:ascii="Titillium" w:hAnsi="Titillium" w:cs="Titillium Web"/>
          <w:b/>
          <w:bCs/>
          <w:sz w:val="20"/>
          <w:szCs w:val="20"/>
          <w:u w:val="single"/>
        </w:rPr>
      </w:pPr>
      <w:r>
        <w:rPr>
          <w:rFonts w:cs="Titillium Web" w:ascii="Titillium" w:hAnsi="Titillium"/>
          <w:b/>
          <w:bCs/>
          <w:sz w:val="20"/>
          <w:szCs w:val="20"/>
          <w:u w:val="single"/>
        </w:rPr>
        <w:t>Sezione valida per gli incarichi di Dirigente esterno</w:t>
      </w:r>
      <w:r>
        <w:rPr>
          <w:rStyle w:val="FootnoteReference"/>
          <w:rFonts w:cs="Titillium Web" w:ascii="Titillium" w:hAnsi="Titillium"/>
          <w:b/>
          <w:bCs/>
          <w:sz w:val="20"/>
          <w:szCs w:val="20"/>
          <w:u w:val="single"/>
        </w:rPr>
        <w:footnoteReference w:id="8"/>
      </w:r>
      <w:r>
        <w:rPr>
          <w:rFonts w:cs="Titillium Web" w:ascii="Titillium" w:hAnsi="Titillium"/>
          <w:b/>
          <w:bCs/>
          <w:sz w:val="20"/>
          <w:szCs w:val="20"/>
          <w:u w:val="single"/>
        </w:rPr>
        <w:t xml:space="preserve"> di ente di diritto privato in controllo pubblico</w:t>
      </w:r>
    </w:p>
    <w:p>
      <w:pPr>
        <w:pStyle w:val="ListParagraph"/>
        <w:tabs>
          <w:tab w:val="clear" w:pos="708"/>
          <w:tab w:val="left" w:pos="142" w:leader="none"/>
        </w:tabs>
        <w:spacing w:lineRule="auto" w:line="360"/>
        <w:ind w:start="360"/>
        <w:jc w:val="both"/>
        <w:rPr>
          <w:rFonts w:ascii="Titillium" w:hAnsi="Titillium" w:cs="Titillium Web"/>
          <w:b/>
          <w:bCs/>
          <w:sz w:val="20"/>
          <w:szCs w:val="20"/>
          <w:u w:val="single"/>
        </w:rPr>
      </w:pPr>
      <w:r>
        <w:rPr>
          <w:rFonts w:cs="Titillium Web" w:ascii="Titillium" w:hAnsi="Titillium"/>
          <w:b/>
          <w:bCs/>
          <w:sz w:val="20"/>
          <w:szCs w:val="20"/>
          <w:u w:val="single"/>
        </w:rPr>
      </w:r>
    </w:p>
    <w:p>
      <w:pPr>
        <w:pStyle w:val="ListParagraph"/>
        <w:numPr>
          <w:ilvl w:val="1"/>
          <w:numId w:val="5"/>
        </w:numPr>
        <w:tabs>
          <w:tab w:val="clear" w:pos="708"/>
          <w:tab w:val="left" w:pos="142" w:leader="none"/>
        </w:tabs>
        <w:spacing w:lineRule="auto" w:line="360"/>
        <w:ind w:firstLine="207" w:start="720"/>
        <w:jc w:val="both"/>
        <w:rPr>
          <w:rFonts w:ascii="Titillium" w:hAnsi="Titillium" w:cs="Titillium Web"/>
          <w:b/>
          <w:bCs/>
          <w:i/>
          <w:iCs/>
          <w:sz w:val="20"/>
          <w:szCs w:val="20"/>
          <w:u w:val="single"/>
        </w:rPr>
      </w:pPr>
      <w:r>
        <w:rPr>
          <w:rFonts w:ascii="Titillium" w:hAnsi="Titillium"/>
          <w:b/>
          <w:bCs/>
          <w:i/>
          <w:iCs/>
          <w:sz w:val="20"/>
        </w:rPr>
        <w:t xml:space="preserve">Incompatibilità con le cariche di componenti degli organi di indirizzo nelle amministrazioni statali, regionali e locali </w:t>
      </w:r>
      <w:bookmarkStart w:id="2" w:name="_Hlk200707803"/>
      <w:r>
        <w:rPr>
          <w:rFonts w:ascii="Titillium" w:hAnsi="Titillium"/>
          <w:b/>
          <w:bCs/>
          <w:i/>
          <w:iCs/>
          <w:sz w:val="20"/>
        </w:rPr>
        <w:t>(N.B. si tenga conto dell’esimente di cui all’art. 12, comma 4 – bis</w:t>
      </w:r>
      <w:r>
        <w:rPr>
          <w:rStyle w:val="FootnoteReference"/>
          <w:rFonts w:ascii="Titillium" w:hAnsi="Titillium"/>
          <w:b/>
          <w:bCs/>
          <w:i/>
          <w:iCs/>
          <w:sz w:val="20"/>
          <w:vertAlign w:val="superscript"/>
        </w:rPr>
        <w:footnoteReference w:id="9"/>
      </w:r>
      <w:r>
        <w:rPr>
          <w:rFonts w:ascii="Titillium" w:hAnsi="Titillium"/>
          <w:b/>
          <w:bCs/>
          <w:i/>
          <w:iCs/>
          <w:sz w:val="20"/>
        </w:rPr>
        <w:t>, del d.lgs. n. 39/2013)</w:t>
      </w:r>
      <w:bookmarkEnd w:id="2"/>
    </w:p>
    <w:p>
      <w:pPr>
        <w:pStyle w:val="ListParagraph"/>
        <w:ind w:start="142"/>
        <w:jc w:val="both"/>
        <w:rPr>
          <w:rFonts w:ascii="Titillium" w:hAnsi="Titillium"/>
          <w:sz w:val="20"/>
        </w:rPr>
      </w:pPr>
      <w:r>
        <w:rPr>
          <w:rFonts w:ascii="Titillium" w:hAnsi="Titillium"/>
          <w:sz w:val="20"/>
        </w:rPr>
      </w:r>
    </w:p>
    <w:p>
      <w:pPr>
        <w:pStyle w:val="ListParagraph"/>
        <w:jc w:val="both"/>
        <w:rPr>
          <w:rFonts w:ascii="Titillium" w:hAnsi="Titillium"/>
          <w:sz w:val="20"/>
        </w:rPr>
      </w:pPr>
      <w:r>
        <mc:AlternateContent>
          <mc:Choice Requires="wps">
            <w:drawing>
              <wp:anchor distT="12700" distB="12700" distL="13335" distR="12065" simplePos="0" relativeHeight="3" behindDoc="0" locked="0" layoutInCell="1" allowOverlap="1" wp14:anchorId="0744D9E2">
                <wp:simplePos x="0" y="0"/>
                <wp:positionH relativeFrom="column">
                  <wp:posOffset>269240</wp:posOffset>
                </wp:positionH>
                <wp:positionV relativeFrom="paragraph">
                  <wp:posOffset>29845</wp:posOffset>
                </wp:positionV>
                <wp:extent cx="92075" cy="101600"/>
                <wp:effectExtent l="13335" t="12700" r="12065" b="12700"/>
                <wp:wrapNone/>
                <wp:docPr id="5" name="Rettangolo 876730187"/>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1.2pt;margin-top:2.35pt;width:7.2pt;height:7.95pt;mso-wrap-style:none;v-text-anchor:middle" wp14:anchorId="0744D9E2">
                <v:fill o:detectmouseclick="t" type="solid" color2="black"/>
                <v:stroke color="#3a5f8b" weight="25560" joinstyle="round" endcap="flat"/>
                <w10:wrap type="none"/>
              </v:rect>
            </w:pict>
          </mc:Fallback>
        </mc:AlternateContent>
      </w:r>
      <w:r>
        <w:rPr>
          <w:rFonts w:ascii="Titillium" w:hAnsi="Titillium"/>
          <w:sz w:val="20"/>
        </w:rPr>
        <w:t>Insussistenza ipotesi ai sensi l’art. 12, comma 1</w:t>
      </w:r>
      <w:r>
        <w:rPr>
          <w:rStyle w:val="FootnoteReference"/>
          <w:rFonts w:ascii="Titillium" w:hAnsi="Titillium"/>
          <w:sz w:val="20"/>
        </w:rPr>
        <w:footnoteReference w:id="10"/>
      </w:r>
      <w:r>
        <w:rPr>
          <w:rFonts w:ascii="Titillium" w:hAnsi="Titillium"/>
          <w:sz w:val="20"/>
        </w:rPr>
        <w:t>, del d.lgs. n. 39/2013;</w:t>
      </w:r>
    </w:p>
    <w:p>
      <w:pPr>
        <w:pStyle w:val="ListParagraph"/>
        <w:jc w:val="both"/>
        <w:rPr>
          <w:rFonts w:ascii="Titillium" w:hAnsi="Titillium"/>
          <w:sz w:val="20"/>
        </w:rPr>
      </w:pPr>
      <w:r>
        <w:rPr>
          <w:rFonts w:ascii="Titillium" w:hAnsi="Titillium"/>
          <w:sz w:val="20"/>
        </w:rPr>
      </w:r>
    </w:p>
    <w:p>
      <w:pPr>
        <w:pStyle w:val="ListParagraph"/>
        <w:numPr>
          <w:ilvl w:val="0"/>
          <w:numId w:val="5"/>
        </w:numPr>
        <w:spacing w:before="0" w:after="200"/>
        <w:ind w:hanging="283" w:start="709"/>
        <w:contextualSpacing w:val="false"/>
        <w:jc w:val="both"/>
        <w:rPr>
          <w:rFonts w:ascii="Titillium" w:hAnsi="Titillium"/>
          <w:sz w:val="20"/>
        </w:rPr>
      </w:pPr>
      <w:r>
        <w:rPr>
          <w:rFonts w:ascii="Titillium" w:hAnsi="Titillium"/>
          <w:sz w:val="20"/>
        </w:rPr>
        <w:t xml:space="preserve">Insussistenza </w:t>
      </w:r>
      <w:r>
        <mc:AlternateContent>
          <mc:Choice Requires="wps">
            <w:drawing>
              <wp:anchor distT="12700" distB="12700" distL="13335" distR="12065" simplePos="0" relativeHeight="7" behindDoc="0" locked="0" layoutInCell="1" allowOverlap="1" wp14:anchorId="411F383A">
                <wp:simplePos x="0" y="0"/>
                <wp:positionH relativeFrom="column">
                  <wp:posOffset>285750</wp:posOffset>
                </wp:positionH>
                <wp:positionV relativeFrom="paragraph">
                  <wp:posOffset>33020</wp:posOffset>
                </wp:positionV>
                <wp:extent cx="92075" cy="101600"/>
                <wp:effectExtent l="13335" t="12700" r="12065" b="12700"/>
                <wp:wrapNone/>
                <wp:docPr id="6" name="Rettangolo 1101825629"/>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pt;margin-top:2.6pt;width:7.2pt;height:7.95pt;mso-wrap-style:none;v-text-anchor:middle" wp14:anchorId="411F383A">
                <v:fill o:detectmouseclick="t" type="solid" color2="black"/>
                <v:stroke color="#3a5f8b" weight="25560" joinstyle="round" endcap="flat"/>
                <w10:wrap type="none"/>
              </v:rect>
            </w:pict>
          </mc:Fallback>
        </mc:AlternateContent>
      </w:r>
      <w:r>
        <w:rPr>
          <w:rFonts w:ascii="Titillium" w:hAnsi="Titillium"/>
          <w:sz w:val="20"/>
        </w:rPr>
        <w:t xml:space="preserve">ipotesi art. 12, comma 2 </w:t>
      </w:r>
      <w:r>
        <w:rPr>
          <w:rStyle w:val="FootnoteReference"/>
          <w:rFonts w:ascii="Titillium" w:hAnsi="Titillium"/>
          <w:sz w:val="20"/>
        </w:rPr>
        <w:footnoteReference w:id="11"/>
      </w:r>
      <w:r>
        <w:rPr>
          <w:rFonts w:ascii="Titillium" w:hAnsi="Titillium"/>
          <w:sz w:val="20"/>
        </w:rPr>
        <w:t>, del d.lgs. n. 39/2013;</w:t>
      </w:r>
    </w:p>
    <w:p>
      <w:pPr>
        <w:pStyle w:val="ListParagraph"/>
        <w:ind w:start="1069"/>
        <w:jc w:val="both"/>
        <w:rPr>
          <w:rFonts w:ascii="Titillium" w:hAnsi="Titillium"/>
          <w:b/>
          <w:bCs/>
          <w:i/>
          <w:iCs/>
          <w:sz w:val="20"/>
        </w:rPr>
      </w:pPr>
      <w:r>
        <w:rPr>
          <w:rFonts w:ascii="Titillium" w:hAnsi="Titillium"/>
          <w:b/>
          <w:bCs/>
          <w:i/>
          <w:iCs/>
          <w:sz w:val="20"/>
        </w:rPr>
      </w:r>
    </w:p>
    <w:p>
      <w:pPr>
        <w:pStyle w:val="ListParagraph"/>
        <w:numPr>
          <w:ilvl w:val="0"/>
          <w:numId w:val="5"/>
        </w:numPr>
        <w:spacing w:before="0" w:after="200"/>
        <w:ind w:hanging="283" w:start="709"/>
        <w:contextualSpacing w:val="false"/>
        <w:jc w:val="both"/>
        <w:rPr>
          <w:rFonts w:ascii="Titillium" w:hAnsi="Titillium"/>
          <w:sz w:val="20"/>
        </w:rPr>
      </w:pPr>
      <w:r>
        <w:rPr>
          <w:rFonts w:ascii="Titillium" w:hAnsi="Titillium"/>
          <w:sz w:val="20"/>
        </w:rPr>
        <w:t xml:space="preserve">Insussistenza </w:t>
      </w:r>
      <w:r>
        <mc:AlternateContent>
          <mc:Choice Requires="wps">
            <w:drawing>
              <wp:anchor distT="12700" distB="12700" distL="13335" distR="12065" simplePos="0" relativeHeight="8" behindDoc="0" locked="0" layoutInCell="1" allowOverlap="1" wp14:anchorId="2F12B7E1">
                <wp:simplePos x="0" y="0"/>
                <wp:positionH relativeFrom="column">
                  <wp:posOffset>285750</wp:posOffset>
                </wp:positionH>
                <wp:positionV relativeFrom="paragraph">
                  <wp:posOffset>33020</wp:posOffset>
                </wp:positionV>
                <wp:extent cx="92075" cy="101600"/>
                <wp:effectExtent l="13335" t="12700" r="12065" b="12700"/>
                <wp:wrapNone/>
                <wp:docPr id="7" name="Rettangolo 2112762860"/>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pt;margin-top:2.6pt;width:7.2pt;height:7.95pt;mso-wrap-style:none;v-text-anchor:middle" wp14:anchorId="2F12B7E1">
                <v:fill o:detectmouseclick="t" type="solid" color2="black"/>
                <v:stroke color="#3a5f8b" weight="25560" joinstyle="round" endcap="flat"/>
                <w10:wrap type="none"/>
              </v:rect>
            </w:pict>
          </mc:Fallback>
        </mc:AlternateContent>
      </w:r>
      <w:r>
        <w:rPr>
          <w:rFonts w:ascii="Titillium" w:hAnsi="Titillium"/>
          <w:sz w:val="20"/>
        </w:rPr>
        <w:t>ipotesi art. 12, comma 3</w:t>
      </w:r>
      <w:r>
        <w:rPr>
          <w:rStyle w:val="FootnoteReference"/>
          <w:rFonts w:ascii="Titillium" w:hAnsi="Titillium"/>
          <w:sz w:val="20"/>
        </w:rPr>
        <w:footnoteReference w:id="12"/>
      </w:r>
      <w:r>
        <w:rPr>
          <w:rFonts w:ascii="Titillium" w:hAnsi="Titillium"/>
          <w:sz w:val="20"/>
        </w:rPr>
        <w:t xml:space="preserve">, d.lgs. n. 39/2013 se l’incarico si riveste presso un ente di livello regionale; </w:t>
      </w:r>
    </w:p>
    <w:p>
      <w:pPr>
        <w:pStyle w:val="ListParagraph"/>
        <w:spacing w:before="0" w:after="200"/>
        <w:ind w:start="709"/>
        <w:contextualSpacing w:val="false"/>
        <w:jc w:val="both"/>
        <w:rPr>
          <w:rFonts w:ascii="Titillium" w:hAnsi="Titillium"/>
          <w:sz w:val="20"/>
        </w:rPr>
      </w:pPr>
      <w:r>
        <w:rPr>
          <w:rFonts w:ascii="Titillium" w:hAnsi="Titillium"/>
          <w:sz w:val="20"/>
        </w:rPr>
        <w:t xml:space="preserve">Insussistenza </w:t>
      </w:r>
      <w:r>
        <mc:AlternateContent>
          <mc:Choice Requires="wps">
            <w:drawing>
              <wp:anchor distT="12700" distB="12700" distL="13335" distR="12065" simplePos="0" relativeHeight="9" behindDoc="0" locked="0" layoutInCell="1" allowOverlap="1" wp14:anchorId="463A9E9A">
                <wp:simplePos x="0" y="0"/>
                <wp:positionH relativeFrom="column">
                  <wp:posOffset>285750</wp:posOffset>
                </wp:positionH>
                <wp:positionV relativeFrom="paragraph">
                  <wp:posOffset>33020</wp:posOffset>
                </wp:positionV>
                <wp:extent cx="92075" cy="101600"/>
                <wp:effectExtent l="13335" t="12700" r="12065" b="12700"/>
                <wp:wrapNone/>
                <wp:docPr id="8" name="Rettangolo 1882198538"/>
                <a:graphic xmlns:a="http://schemas.openxmlformats.org/drawingml/2006/main">
                  <a:graphicData uri="http://schemas.microsoft.com/office/word/2010/wordprocessingShape">
                    <wps:wsp>
                      <wps:cNvSpPr/>
                      <wps:spPr>
                        <a:xfrm>
                          <a:off x="0" y="0"/>
                          <a:ext cx="92160" cy="101520"/>
                        </a:xfrm>
                        <a:prstGeom prst="rect">
                          <a:avLst/>
                        </a:prstGeom>
                        <a:solidFill>
                          <a:srgbClr val="ffffff"/>
                        </a:solidFill>
                        <a:ln w="25400">
                          <a:solidFill>
                            <a:srgbClr val="3a5f8b"/>
                          </a:solidFill>
                          <a:round/>
                        </a:ln>
                      </wps:spPr>
                      <wps:style>
                        <a:lnRef idx="0"/>
                        <a:fillRef idx="0"/>
                        <a:effectRef idx="0"/>
                        <a:fontRef idx="minor"/>
                      </wps:style>
                      <wps:bodyPr/>
                    </wps:wsp>
                  </a:graphicData>
                </a:graphic>
              </wp:anchor>
            </w:drawing>
          </mc:Choice>
          <mc:Fallback>
            <w:pict>
              <v:rect id="shape_0" fillcolor="white" stroked="t" o:allowincell="f" style="position:absolute;margin-left:22.5pt;margin-top:2.6pt;width:7.2pt;height:7.95pt;mso-wrap-style:none;v-text-anchor:middle" wp14:anchorId="463A9E9A">
                <v:fill o:detectmouseclick="t" type="solid" color2="black"/>
                <v:stroke color="#3a5f8b" weight="25560" joinstyle="round" endcap="flat"/>
                <w10:wrap type="none"/>
              </v:rect>
            </w:pict>
          </mc:Fallback>
        </mc:AlternateContent>
      </w:r>
      <w:r>
        <w:rPr>
          <w:rFonts w:ascii="Titillium" w:hAnsi="Titillium"/>
          <w:sz w:val="20"/>
        </w:rPr>
        <w:t>ipotesi art. 12, comma 4</w:t>
      </w:r>
      <w:r>
        <w:rPr>
          <w:rStyle w:val="FootnoteReference"/>
          <w:rFonts w:ascii="Titillium" w:hAnsi="Titillium"/>
          <w:sz w:val="20"/>
        </w:rPr>
        <w:footnoteReference w:id="13"/>
      </w:r>
      <w:r>
        <w:rPr>
          <w:rFonts w:ascii="Titillium" w:hAnsi="Titillium"/>
          <w:sz w:val="20"/>
        </w:rPr>
        <w:t>,</w:t>
      </w:r>
      <w:r>
        <w:rPr>
          <w:rFonts w:cs="Calibri"/>
          <w:color w:val="000000"/>
          <w:shd w:fill="F5FDFE" w:val="clear"/>
        </w:rPr>
        <w:t xml:space="preserve"> </w:t>
      </w:r>
      <w:r>
        <w:rPr>
          <w:rFonts w:ascii="Titillium" w:hAnsi="Titillium"/>
          <w:sz w:val="20"/>
        </w:rPr>
        <w:t>d.lgs. n. 39/2013 se l’incarico si riveste presso un ente di livello provinciale o comunale del d.lgs. n. 39/2013;</w:t>
      </w:r>
    </w:p>
    <w:p>
      <w:pPr>
        <w:pStyle w:val="Normal"/>
        <w:tabs>
          <w:tab w:val="clear" w:pos="708"/>
          <w:tab w:val="left" w:pos="0" w:leader="none"/>
          <w:tab w:val="left" w:pos="142" w:leader="none"/>
        </w:tabs>
        <w:spacing w:lineRule="auto" w:line="360"/>
        <w:jc w:val="center"/>
        <w:rPr>
          <w:rFonts w:ascii="Titillium" w:hAnsi="Titillium" w:cs="Titillium Web"/>
          <w:b/>
          <w:bCs/>
          <w:sz w:val="20"/>
          <w:szCs w:val="20"/>
        </w:rPr>
      </w:pPr>
      <w:r>
        <w:rPr>
          <w:rFonts w:cs="Titillium Web" w:ascii="Titillium" w:hAnsi="Titillium"/>
          <w:b/>
          <w:bCs/>
          <w:sz w:val="20"/>
          <w:szCs w:val="20"/>
        </w:rPr>
        <w:t>DICHIARA ALTRESI’</w:t>
      </w:r>
    </w:p>
    <w:p>
      <w:pPr>
        <w:pStyle w:val="Normal"/>
        <w:jc w:val="both"/>
        <w:rPr>
          <w:rFonts w:ascii="Titillium" w:hAnsi="Titillium"/>
          <w:sz w:val="20"/>
          <w:szCs w:val="20"/>
        </w:rPr>
      </w:pPr>
      <w:r>
        <w:rPr>
          <w:rFonts w:ascii="Titillium" w:hAnsi="Titillium"/>
          <w:sz w:val="20"/>
          <w:szCs w:val="20"/>
        </w:rPr>
        <w:t>di essere informato che, ai sensi di quanto disposto dall’art. 20, comma 3, del d.lgs. n. 39/2013, la presente dichiarazione verrà pubblicata sul sito istituzionale dell’ente, nell’apposita sezione “Amministrazione Trasparente”</w:t>
      </w:r>
      <w:r>
        <w:rPr>
          <w:rStyle w:val="FootnoteReference"/>
          <w:rFonts w:ascii="Titillium" w:hAnsi="Titillium"/>
          <w:sz w:val="20"/>
          <w:szCs w:val="20"/>
        </w:rPr>
        <w:footnoteReference w:id="14"/>
      </w:r>
      <w:r>
        <w:rPr>
          <w:rFonts w:ascii="Titillium" w:hAnsi="Titillium"/>
          <w:sz w:val="20"/>
          <w:szCs w:val="20"/>
        </w:rPr>
        <w:t>.</w:t>
      </w:r>
    </w:p>
    <w:p>
      <w:pPr>
        <w:pStyle w:val="Normal"/>
        <w:jc w:val="both"/>
        <w:rPr>
          <w:rFonts w:ascii="Titillium" w:hAnsi="Titillium"/>
          <w:sz w:val="20"/>
          <w:szCs w:val="20"/>
        </w:rPr>
      </w:pPr>
      <w:bookmarkStart w:id="3" w:name="_Hlk200102237"/>
      <w:r>
        <w:rPr>
          <w:rFonts w:ascii="Titillium" w:hAnsi="Titillium"/>
          <w:sz w:val="20"/>
          <w:szCs w:val="20"/>
        </w:rPr>
        <w:t>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anche tramite acquisizione di informazioni sulle iscrizioni esistenti nel casellario giudiziale.</w:t>
      </w:r>
      <w:bookmarkEnd w:id="3"/>
    </w:p>
    <w:p>
      <w:pPr>
        <w:pStyle w:val="Normal"/>
        <w:spacing w:lineRule="auto" w:line="360"/>
        <w:jc w:val="both"/>
        <w:rPr>
          <w:rFonts w:ascii="Titillium" w:hAnsi="Titillium" w:cs="Titillium Web"/>
          <w:sz w:val="20"/>
          <w:szCs w:val="20"/>
        </w:rPr>
      </w:pPr>
      <w:r>
        <w:rPr>
          <w:rFonts w:cs="Titillium Web" w:ascii="Titillium" w:hAnsi="Titillium"/>
          <w:sz w:val="20"/>
          <w:szCs w:val="20"/>
        </w:rPr>
        <w:t>Luogo, data</w:t>
      </w:r>
    </w:p>
    <w:p>
      <w:pPr>
        <w:pStyle w:val="Normal"/>
        <w:spacing w:lineRule="auto" w:line="360"/>
        <w:jc w:val="both"/>
        <w:rPr>
          <w:rFonts w:ascii="Titillium" w:hAnsi="Titillium" w:cs="Titillium Web"/>
          <w:sz w:val="20"/>
          <w:szCs w:val="20"/>
        </w:rPr>
      </w:pPr>
      <w:r>
        <w:rPr>
          <w:rFonts w:cs="Titillium Web" w:ascii="Titillium" w:hAnsi="Titillium"/>
          <w:sz w:val="20"/>
          <w:szCs w:val="20"/>
        </w:rPr>
        <w:t xml:space="preserve"> </w:t>
      </w:r>
    </w:p>
    <w:p>
      <w:pPr>
        <w:pStyle w:val="Normal"/>
        <w:spacing w:lineRule="auto" w:line="360"/>
        <w:ind w:end="1558"/>
        <w:jc w:val="end"/>
        <w:rPr>
          <w:rFonts w:ascii="Titillium" w:hAnsi="Titillium" w:cs="Titillium Web"/>
          <w:sz w:val="20"/>
          <w:szCs w:val="20"/>
        </w:rPr>
      </w:pPr>
      <w:r>
        <w:rPr>
          <w:rFonts w:cs="Titillium Web" w:ascii="Titillium" w:hAnsi="Titillium"/>
          <w:sz w:val="20"/>
          <w:szCs w:val="20"/>
        </w:rPr>
        <w:t xml:space="preserve">Firma </w:t>
      </w:r>
    </w:p>
    <w:p>
      <w:pPr>
        <w:pStyle w:val="Normal"/>
        <w:spacing w:lineRule="auto" w:line="360" w:before="0" w:after="200"/>
        <w:jc w:val="end"/>
        <w:rPr>
          <w:rFonts w:ascii="Titillium" w:hAnsi="Titillium" w:cs="Titillium Web"/>
          <w:sz w:val="20"/>
          <w:szCs w:val="20"/>
        </w:rPr>
      </w:pPr>
      <w:r>
        <w:rPr>
          <w:rFonts w:cs="Titillium Web" w:ascii="Titillium" w:hAnsi="Titillium"/>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 w:name="Tahoma">
    <w:charset w:val="01"/>
    <w:family w:val="swiss"/>
    <w:pitch w:val="default"/>
  </w:font>
  <w:font w:name="Times New Roman">
    <w:charset w:val="01"/>
    <w:family w:val="roman"/>
    <w:pitch w:val="default"/>
  </w:font>
  <w:font w:name="Titillium">
    <w:charset w:val="01"/>
    <w:family w:val="swiss"/>
    <w:pitch w:val="default"/>
  </w:font>
  <w:font w:name="DejaVu Sans">
    <w:charset w:val="01"/>
    <w:family w:val="swiss"/>
    <w:pitch w:val="default"/>
  </w:font>
  <w:font w:name="Cambria">
    <w:charset w:val="01"/>
    <w:family w:val="swiss"/>
    <w:pitch w:val="default"/>
  </w:font>
  <w:font w:name="Garamond">
    <w:charset w:val="01"/>
    <w:family w:val="roman"/>
    <w:pitch w:val="default"/>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start="284" w:end="142"/>
        <w:jc w:val="both"/>
        <w:rPr>
          <w:i/>
          <w:sz w:val="16"/>
          <w:szCs w:val="16"/>
        </w:rPr>
      </w:pPr>
      <w:r>
        <w:rPr>
          <w:rStyle w:val="Caratterinotaapidipagina"/>
        </w:rPr>
        <w:footnoteRef/>
      </w:r>
      <w:r>
        <w:rPr/>
        <w:t xml:space="preserve"> </w:t>
      </w:r>
      <w:r>
        <w:rPr>
          <w:b/>
          <w:sz w:val="16"/>
        </w:rPr>
        <w:t>Art. 1, comma 2, lett. c): “</w:t>
      </w:r>
      <w:r>
        <w:rPr>
          <w:i/>
          <w:sz w:val="16"/>
        </w:rPr>
        <w:t>Ai fini del presente decreto si intende</w:t>
      </w:r>
      <w:r>
        <w:rPr>
          <w:sz w:val="16"/>
        </w:rPr>
        <w:t>: (...) c) “</w:t>
      </w:r>
      <w:r>
        <w:rPr>
          <w:i/>
          <w:sz w:val="16"/>
        </w:rPr>
        <w:t xml:space="preserve">per </w:t>
      </w:r>
      <w:r>
        <w:rPr>
          <w:i/>
          <w:sz w:val="14"/>
          <w:szCs w:val="14"/>
        </w:rPr>
        <w:t>&lt;&lt;</w:t>
      </w:r>
      <w:r>
        <w:rPr>
          <w:b/>
          <w:i/>
          <w:sz w:val="16"/>
        </w:rPr>
        <w:t>enti di diritto privato in controllo pubblico</w:t>
      </w:r>
      <w:r>
        <w:rPr>
          <w:sz w:val="14"/>
          <w:szCs w:val="14"/>
        </w:rPr>
        <w:t>&gt;&gt;</w:t>
      </w:r>
      <w:r>
        <w:rPr/>
        <w:t xml:space="preserve">, </w:t>
      </w:r>
      <w:r>
        <w:rPr>
          <w:i/>
          <w:sz w:val="16"/>
          <w:szCs w:val="16"/>
        </w:rPr>
        <w:t>le società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p>
    <w:p>
      <w:pPr>
        <w:pStyle w:val="FootnoteText"/>
        <w:ind w:start="284" w:end="142"/>
        <w:jc w:val="both"/>
        <w:rPr>
          <w:i/>
          <w:sz w:val="16"/>
          <w:szCs w:val="16"/>
        </w:rPr>
      </w:pPr>
      <w:r>
        <w:rPr>
          <w:i/>
          <w:sz w:val="16"/>
          <w:szCs w:val="16"/>
        </w:rPr>
      </w:r>
    </w:p>
    <w:p>
      <w:pPr>
        <w:pStyle w:val="FootnoteText"/>
        <w:ind w:start="284" w:end="142"/>
        <w:jc w:val="both"/>
        <w:rPr>
          <w:i/>
          <w:sz w:val="16"/>
        </w:rPr>
      </w:pPr>
      <w:r>
        <w:rPr>
          <w:rStyle w:val="Caratterinotaapidipaginauser"/>
        </w:rPr>
        <w:t>2</w:t>
      </w:r>
      <w:r>
        <w:rPr/>
        <w:t xml:space="preserve"> </w:t>
      </w:r>
      <w:r>
        <w:rPr>
          <w:b/>
          <w:sz w:val="16"/>
        </w:rPr>
        <w:t xml:space="preserve">Art. 20, comma 2: </w:t>
      </w:r>
      <w:r>
        <w:rPr>
          <w:sz w:val="16"/>
        </w:rPr>
        <w:t>“</w:t>
      </w:r>
      <w:r>
        <w:rPr>
          <w:i/>
          <w:sz w:val="16"/>
        </w:rPr>
        <w:t>Nel corso dell’incarico l’interessato presenta annualmente una dichiarazione sulla insussistenza di una delle cause di incompatibilità di cui al presente decreto.”;</w:t>
      </w:r>
    </w:p>
  </w:footnote>
  <w:footnote w:id="3">
    <w:p>
      <w:pPr>
        <w:pStyle w:val="FootnoteText"/>
        <w:ind w:start="644" w:end="142"/>
        <w:jc w:val="both"/>
        <w:rPr>
          <w:i/>
          <w:sz w:val="16"/>
        </w:rPr>
      </w:pPr>
      <w:r>
        <w:rPr>
          <w:rStyle w:val="Caratterinotaapidipagina"/>
        </w:rPr>
        <w:footnoteRef/>
      </w:r>
      <w:r>
        <w:rPr/>
      </w:r>
    </w:p>
  </w:footnote>
  <w:footnote w:id="4">
    <w:p>
      <w:pPr>
        <w:pStyle w:val="NormalWeb"/>
        <w:spacing w:beforeAutospacing="0" w:before="0" w:afterAutospacing="0" w:after="0"/>
        <w:ind w:start="284" w:end="142"/>
        <w:jc w:val="both"/>
        <w:rPr>
          <w:rFonts w:ascii="Titillium" w:hAnsi="Titillium" w:eastAsia="Calibri" w:cs="Titillium Web" w:eastAsiaTheme="minorHAnsi"/>
          <w:i/>
          <w:sz w:val="16"/>
          <w:szCs w:val="20"/>
          <w:lang w:eastAsia="en-US"/>
        </w:rPr>
      </w:pPr>
      <w:r>
        <w:rPr>
          <w:rStyle w:val="Caratterinotaapidipagina"/>
        </w:rPr>
        <w:footnoteRef/>
      </w:r>
      <w:r>
        <w:rPr>
          <w:rFonts w:eastAsia="Calibri" w:cs="Titillium Web" w:ascii="Titillium" w:hAnsi="Titillium" w:eastAsiaTheme="minorHAnsi"/>
          <w:sz w:val="16"/>
          <w:szCs w:val="20"/>
          <w:lang w:eastAsia="en-US"/>
        </w:rPr>
        <w:t xml:space="preserve"> </w:t>
      </w:r>
      <w:r>
        <w:rPr>
          <w:rFonts w:eastAsia="Calibri" w:cs="Titillium Web" w:ascii="Titillium" w:hAnsi="Titillium" w:eastAsiaTheme="minorHAnsi"/>
          <w:b/>
          <w:sz w:val="16"/>
          <w:szCs w:val="20"/>
          <w:lang w:eastAsia="en-US"/>
        </w:rPr>
        <w:t>Art. 9, comma 2:</w:t>
      </w:r>
      <w:r>
        <w:rPr>
          <w:rFonts w:eastAsia="Calibri" w:cs="Titillium Web" w:ascii="Titillium" w:hAnsi="Titillium" w:eastAsiaTheme="minorHAnsi"/>
          <w:i/>
          <w:sz w:val="16"/>
          <w:szCs w:val="20"/>
          <w:lang w:eastAsia="en-US"/>
        </w:rPr>
        <w:t xml:space="preserve">“Gli incarichi amministrativi di vertice e gli incarichi dirigenziali, comunque denominati, nelle pubbliche amministrazioni, gli incarichi di amministratore negli enti pubblici e di presidente e amministratore delegato negli </w:t>
      </w:r>
      <w:r>
        <w:rPr>
          <w:rFonts w:eastAsia="Calibri" w:cs="Titillium Web" w:ascii="Titillium" w:hAnsi="Titillium" w:eastAsiaTheme="minorHAnsi"/>
          <w:b/>
          <w:i/>
          <w:sz w:val="16"/>
          <w:szCs w:val="20"/>
          <w:lang w:eastAsia="en-US"/>
        </w:rPr>
        <w:t>enti di diritto privato in controllo pubblico</w:t>
      </w:r>
      <w:r>
        <w:rPr>
          <w:rFonts w:eastAsia="Calibri" w:cs="Titillium Web" w:ascii="Titillium" w:hAnsi="Titillium" w:eastAsiaTheme="minorHAnsi"/>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p>
    <w:p>
      <w:pPr>
        <w:pStyle w:val="FootnoteText"/>
        <w:ind w:start="709" w:end="142"/>
        <w:rPr>
          <w:sz w:val="18"/>
        </w:rPr>
      </w:pPr>
      <w:r>
        <w:rPr/>
      </w:r>
    </w:p>
  </w:footnote>
  <w:footnote w:id="5">
    <w:p>
      <w:pPr>
        <w:pStyle w:val="NormalWeb"/>
        <w:spacing w:beforeAutospacing="0" w:before="0" w:afterAutospacing="0" w:after="0"/>
        <w:ind w:start="284" w:end="142"/>
        <w:jc w:val="both"/>
        <w:rPr>
          <w:rFonts w:ascii="Titillium" w:hAnsi="Titillium" w:eastAsia="Calibri" w:cs="Titillium Web" w:eastAsiaTheme="minorHAnsi"/>
          <w:i/>
          <w:sz w:val="16"/>
          <w:szCs w:val="20"/>
          <w:lang w:eastAsia="en-US"/>
        </w:rPr>
      </w:pPr>
      <w:r>
        <w:rPr>
          <w:rStyle w:val="Caratterinotaapidipagina"/>
        </w:rPr>
        <w:footnoteRef/>
      </w:r>
      <w:r>
        <w:rPr/>
        <w:t xml:space="preserve"> </w:t>
      </w:r>
      <w:r>
        <w:rPr>
          <w:rFonts w:eastAsia="Calibri" w:cs="Titillium Web" w:ascii="Titillium" w:hAnsi="Titillium" w:eastAsiaTheme="minorHAnsi"/>
          <w:b/>
          <w:sz w:val="16"/>
          <w:szCs w:val="20"/>
          <w:lang w:eastAsia="en-US"/>
        </w:rPr>
        <w:t xml:space="preserve">Art. 13, comma 1: </w:t>
      </w:r>
      <w:r>
        <w:rPr>
          <w:rFonts w:eastAsia="Calibri" w:cs="Titillium Web" w:ascii="Titillium" w:hAnsi="Titillium" w:eastAsiaTheme="minorHAnsi"/>
          <w:i/>
          <w:sz w:val="16"/>
          <w:szCs w:val="20"/>
          <w:lang w:eastAsia="en-US"/>
        </w:rPr>
        <w:t xml:space="preserve">“Gli incarichi di presidente e amministratore delegato di </w:t>
      </w:r>
      <w:r>
        <w:rPr>
          <w:rFonts w:eastAsia="Calibri" w:cs="Titillium Web" w:ascii="Titillium" w:hAnsi="Titillium" w:eastAsiaTheme="minorHAnsi"/>
          <w:b/>
          <w:i/>
          <w:sz w:val="16"/>
          <w:szCs w:val="20"/>
          <w:lang w:eastAsia="en-US"/>
        </w:rPr>
        <w:t>enti di diritto privato in controllo pubblico, di livello nazionale, regionale e locale,</w:t>
      </w:r>
      <w:r>
        <w:rPr>
          <w:rFonts w:eastAsia="Calibri" w:cs="Titillium Web" w:ascii="Titillium" w:hAnsi="Titillium" w:eastAsiaTheme="minorHAnsi"/>
          <w:i/>
          <w:sz w:val="16"/>
          <w:szCs w:val="20"/>
          <w:lang w:eastAsia="en-US"/>
        </w:rPr>
        <w:t xml:space="preserve"> sono incompatibili con la carica di Presidente del Consiglio dei Ministri, Ministro, Vice Ministro, sottosegretario di Stato e di commissario straordinario del Governo di cui all’articolo 11 della legge 23 agosto 1988, n. 400, o di parlamentare.”;</w:t>
      </w:r>
    </w:p>
    <w:p>
      <w:pPr>
        <w:pStyle w:val="FootnoteText"/>
        <w:jc w:val="both"/>
        <w:rPr/>
      </w:pPr>
      <w:r>
        <w:rPr/>
      </w:r>
    </w:p>
  </w:footnote>
  <w:footnote w:id="6">
    <w:p>
      <w:pPr>
        <w:pStyle w:val="FootnoteText"/>
        <w:ind w:start="284" w:end="142"/>
        <w:jc w:val="both"/>
        <w:rPr>
          <w:i/>
          <w:sz w:val="16"/>
        </w:rPr>
      </w:pPr>
      <w:r>
        <w:rPr>
          <w:rStyle w:val="Caratterinotaapidipagina"/>
        </w:rPr>
        <w:footnoteRef/>
      </w:r>
      <w:r>
        <w:rPr>
          <w:b/>
          <w:sz w:val="16"/>
        </w:rPr>
        <w:t xml:space="preserve"> </w:t>
      </w:r>
      <w:r>
        <w:rPr>
          <w:b/>
          <w:sz w:val="16"/>
        </w:rPr>
        <w:t xml:space="preserve">Art. 13, comma 2: </w:t>
      </w:r>
      <w:r>
        <w:rPr>
          <w:i/>
          <w:iCs/>
        </w:rPr>
        <w:t>“</w:t>
      </w:r>
      <w:r>
        <w:rPr>
          <w:i/>
          <w:sz w:val="16"/>
        </w:rPr>
        <w:t xml:space="preserve">Gli incarichi di presidente e amministratore delegato di </w:t>
      </w:r>
      <w:r>
        <w:rPr>
          <w:b/>
          <w:i/>
          <w:sz w:val="16"/>
        </w:rPr>
        <w:t>ente di diritto privato in controllo pubblico di livello regionale</w:t>
      </w:r>
      <w:r>
        <w:rPr>
          <w:i/>
          <w:sz w:val="16"/>
        </w:rPr>
        <w:t xml:space="preserve"> sono incompatibili: a) con la carica di componente della giunta o del consiglio della regione interessata; b) con la carica di componente della giunta o del consiglio di una provincia o di un comune con popolazione superiore ai 15.000 abitanti o di una forma associativa tra comuni avente la medesima popolazione della medesima regione; 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p>
    <w:p>
      <w:pPr>
        <w:pStyle w:val="FootnoteText"/>
        <w:ind w:start="284" w:end="142"/>
        <w:jc w:val="both"/>
        <w:rPr/>
      </w:pPr>
      <w:r>
        <w:rPr/>
      </w:r>
    </w:p>
  </w:footnote>
  <w:footnote w:id="7">
    <w:p>
      <w:pPr>
        <w:pStyle w:val="NormalWeb"/>
        <w:spacing w:beforeAutospacing="0" w:before="0" w:afterAutospacing="0" w:after="0"/>
        <w:ind w:start="284" w:end="142"/>
        <w:jc w:val="both"/>
        <w:rPr>
          <w:rFonts w:ascii="Titillium" w:hAnsi="Titillium" w:eastAsia="Calibri" w:cs="Titillium Web" w:eastAsiaTheme="minorHAnsi"/>
          <w:i/>
          <w:sz w:val="16"/>
          <w:szCs w:val="20"/>
          <w:lang w:eastAsia="en-US"/>
        </w:rPr>
      </w:pPr>
      <w:r>
        <w:rPr>
          <w:rStyle w:val="Caratterinotaapidipagina"/>
        </w:rPr>
        <w:footnoteRef/>
      </w:r>
      <w:r>
        <w:rPr/>
        <w:t xml:space="preserve"> </w:t>
      </w:r>
      <w:r>
        <w:rPr>
          <w:rFonts w:eastAsia="Calibri" w:cs="Titillium Web" w:ascii="Titillium" w:hAnsi="Titillium" w:eastAsiaTheme="minorHAnsi"/>
          <w:b/>
          <w:sz w:val="16"/>
          <w:szCs w:val="20"/>
          <w:lang w:eastAsia="en-US"/>
        </w:rPr>
        <w:t xml:space="preserve">Art. 13, comma 3: </w:t>
      </w:r>
      <w:r>
        <w:rPr>
          <w:rFonts w:eastAsia="Calibri" w:cs="Titillium Web" w:ascii="Titillium" w:hAnsi="Titillium" w:eastAsiaTheme="minorHAnsi"/>
          <w:i/>
          <w:sz w:val="16"/>
          <w:szCs w:val="20"/>
          <w:lang w:eastAsia="en-US"/>
        </w:rPr>
        <w:t xml:space="preserve">”Gli incarichi presidente e amministratore delegato di </w:t>
      </w:r>
      <w:r>
        <w:rPr>
          <w:rFonts w:eastAsia="Calibri" w:cs="Titillium Web" w:ascii="Titillium" w:hAnsi="Titillium" w:eastAsiaTheme="minorHAnsi"/>
          <w:b/>
          <w:i/>
          <w:sz w:val="16"/>
          <w:szCs w:val="20"/>
          <w:lang w:eastAsia="en-US"/>
        </w:rPr>
        <w:t>ente di diritto privato in controllo pubblico di livello locale</w:t>
      </w:r>
      <w:r>
        <w:rPr>
          <w:rFonts w:eastAsia="Calibri" w:cs="Titillium Web" w:ascii="Titillium" w:hAnsi="Titillium" w:eastAsiaTheme="minorHAnsi"/>
          <w:i/>
          <w:sz w:val="16"/>
          <w:szCs w:val="20"/>
          <w:lang w:eastAsia="en-US"/>
        </w:rPr>
        <w:t xml:space="preserve"> sono incompatibili con l’assunzione, nel corso dell’incarico, della carica di componente della giunta o del consiglio di una provincia o di un comune con popolazione superiore ai 15.000 abitanti o di una forma associativa tra comuni avente la medesima popolazione della medesima regione.”;</w:t>
      </w:r>
    </w:p>
    <w:p>
      <w:pPr>
        <w:pStyle w:val="NormalWeb"/>
        <w:spacing w:beforeAutospacing="0" w:before="0" w:afterAutospacing="0" w:after="0"/>
        <w:ind w:start="284" w:end="142"/>
        <w:jc w:val="both"/>
        <w:rPr>
          <w:rFonts w:ascii="Titillium" w:hAnsi="Titillium" w:eastAsia="Calibri" w:cs="Titillium Web" w:eastAsiaTheme="minorHAnsi"/>
          <w:i/>
          <w:sz w:val="16"/>
          <w:szCs w:val="20"/>
          <w:lang w:eastAsia="en-US"/>
        </w:rPr>
      </w:pPr>
      <w:r>
        <w:rPr>
          <w:rFonts w:eastAsia="Calibri" w:cs="Titillium Web" w:eastAsiaTheme="minorHAnsi" w:ascii="Titillium" w:hAnsi="Titillium"/>
          <w:i/>
          <w:sz w:val="16"/>
          <w:szCs w:val="20"/>
          <w:lang w:eastAsia="en-US"/>
        </w:rPr>
      </w:r>
    </w:p>
    <w:p>
      <w:pPr>
        <w:pStyle w:val="FootnoteText"/>
        <w:ind w:start="284" w:end="142"/>
        <w:jc w:val="both"/>
        <w:rPr>
          <w:sz w:val="8"/>
          <w:szCs w:val="8"/>
        </w:rPr>
      </w:pPr>
      <w:r>
        <w:rPr/>
      </w:r>
    </w:p>
  </w:footnote>
  <w:footnote w:id="8">
    <w:p>
      <w:pPr>
        <w:pStyle w:val="FootnoteText"/>
        <w:ind w:start="284" w:end="-1"/>
        <w:jc w:val="both"/>
        <w:rPr>
          <w:rFonts w:eastAsia="Times New Roman"/>
          <w:i/>
          <w:sz w:val="16"/>
          <w:lang w:eastAsia="it-IT"/>
        </w:rPr>
      </w:pPr>
      <w:r>
        <w:rPr>
          <w:rStyle w:val="Caratterinotaapidipagina"/>
        </w:rPr>
        <w:footnoteRef/>
      </w:r>
      <w:r>
        <w:rPr/>
        <w:t xml:space="preserve"> </w:t>
      </w:r>
      <w:r>
        <w:rPr>
          <w:b/>
          <w:sz w:val="16"/>
        </w:rPr>
        <w:t>Art. 12, comma 4-bis.”</w:t>
      </w:r>
      <w:r>
        <w:rPr>
          <w:i/>
          <w:iCs/>
          <w:sz w:val="22"/>
          <w:szCs w:val="22"/>
        </w:rPr>
        <w:t xml:space="preserve"> </w:t>
      </w:r>
      <w:r>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pPr>
        <w:pStyle w:val="FootnoteText"/>
        <w:ind w:start="284" w:end="142"/>
        <w:rPr/>
      </w:pPr>
      <w:r>
        <w:rPr/>
      </w:r>
    </w:p>
  </w:footnote>
  <w:footnote w:id="9">
    <w:p>
      <w:pPr>
        <w:pStyle w:val="FootnoteText"/>
        <w:ind w:start="284" w:end="142"/>
        <w:rPr>
          <w:rFonts w:eastAsia="Times New Roman"/>
          <w:i/>
          <w:sz w:val="16"/>
          <w:lang w:eastAsia="it-IT"/>
        </w:rPr>
      </w:pPr>
      <w:r>
        <w:rPr>
          <w:rStyle w:val="Caratterinotaapidipagina"/>
        </w:rPr>
        <w:footnoteRef/>
      </w:r>
      <w:r>
        <w:rPr/>
        <w:t xml:space="preserve"> </w:t>
      </w:r>
      <w:r>
        <w:rPr>
          <w:b/>
          <w:sz w:val="16"/>
        </w:rPr>
        <w:t>Art.</w:t>
      </w:r>
      <w:r>
        <w:rPr>
          <w:rFonts w:cs="Calibri" w:ascii="Calibri" w:hAnsi="Calibri"/>
          <w:b/>
          <w:sz w:val="16"/>
        </w:rPr>
        <w:t> </w:t>
      </w:r>
      <w:r>
        <w:rPr>
          <w:b/>
          <w:sz w:val="16"/>
        </w:rPr>
        <w:t>12, comma 4 – bis, “</w:t>
      </w:r>
      <w:r>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pPr>
        <w:pStyle w:val="FootnoteText"/>
        <w:ind w:start="284" w:end="142"/>
        <w:rPr/>
      </w:pPr>
      <w:r>
        <w:rPr/>
      </w:r>
    </w:p>
  </w:footnote>
  <w:footnote w:id="10">
    <w:p>
      <w:pPr>
        <w:pStyle w:val="FootnoteText"/>
        <w:tabs>
          <w:tab w:val="clear" w:pos="284"/>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start="284" w:end="142"/>
        <w:jc w:val="both"/>
        <w:rPr>
          <w:i/>
          <w:sz w:val="16"/>
        </w:rPr>
      </w:pPr>
      <w:r>
        <w:rPr>
          <w:rStyle w:val="Caratterinotaapidipagina"/>
        </w:rPr>
        <w:footnoteRef/>
      </w:r>
      <w:r>
        <w:rPr>
          <w:bCs/>
          <w:szCs w:val="24"/>
          <w:vertAlign w:val="superscript"/>
        </w:rPr>
        <w:t xml:space="preserve"> </w:t>
      </w:r>
      <w:r>
        <w:rPr>
          <w:b/>
          <w:sz w:val="16"/>
        </w:rPr>
        <w:t>Art.</w:t>
      </w:r>
      <w:r>
        <w:rPr>
          <w:rFonts w:cs="Calibri" w:ascii="Calibri" w:hAnsi="Calibri"/>
          <w:b/>
          <w:sz w:val="16"/>
        </w:rPr>
        <w:t> </w:t>
      </w:r>
      <w:bookmarkStart w:id="4" w:name="Copia_Copia_12_1_1"/>
      <w:r>
        <w:rPr>
          <w:b/>
          <w:sz w:val="16"/>
        </w:rPr>
        <w:t>12</w:t>
      </w:r>
      <w:bookmarkEnd w:id="4"/>
      <w:r>
        <w:rPr>
          <w:b/>
          <w:sz w:val="16"/>
        </w:rPr>
        <w:t>, comma 1: “</w:t>
      </w:r>
      <w:r>
        <w:rPr>
          <w:i/>
          <w:sz w:val="16"/>
        </w:rPr>
        <w:t xml:space="preserve">Gli incarichi dirigenziali, interni e esterni, nelle pubbliche amministrazioni, negli enti pubblici e </w:t>
      </w:r>
      <w:r>
        <w:rPr>
          <w:b/>
          <w:bCs/>
          <w:i/>
          <w:sz w:val="16"/>
        </w:rPr>
        <w:t>negli enti di diritto privato in controllo pubblico</w:t>
      </w:r>
      <w:r>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pPr>
        <w:pStyle w:val="FootnoteText"/>
        <w:jc w:val="both"/>
        <w:rPr/>
      </w:pPr>
      <w:r>
        <w:rPr/>
      </w:r>
    </w:p>
  </w:footnote>
  <w:footnote w:id="11">
    <w:p>
      <w:pPr>
        <w:pStyle w:val="FootnoteText"/>
        <w:tabs>
          <w:tab w:val="clear" w:pos="284"/>
          <w:tab w:val="clear" w:pos="567"/>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start="284" w:end="142"/>
        <w:jc w:val="both"/>
        <w:rPr>
          <w:i/>
          <w:sz w:val="16"/>
        </w:rPr>
      </w:pPr>
      <w:r>
        <w:rPr>
          <w:rStyle w:val="Caratterinotaapidipagina"/>
        </w:rPr>
        <w:footnoteRef/>
      </w:r>
      <w:r>
        <w:rPr/>
        <w:t xml:space="preserve"> </w:t>
      </w:r>
      <w:r>
        <w:rPr>
          <w:b/>
          <w:iCs/>
          <w:sz w:val="16"/>
        </w:rPr>
        <w:t>Art.</w:t>
      </w:r>
      <w:r>
        <w:rPr>
          <w:rFonts w:cs="Calibri" w:ascii="Calibri" w:hAnsi="Calibri"/>
          <w:b/>
          <w:iCs/>
          <w:sz w:val="16"/>
        </w:rPr>
        <w:t> </w:t>
      </w:r>
      <w:r>
        <w:rPr>
          <w:b/>
          <w:iCs/>
          <w:sz w:val="16"/>
        </w:rPr>
        <w:t>12, comma 2:</w:t>
      </w:r>
      <w:r>
        <w:rPr>
          <w:b/>
          <w:i/>
          <w:sz w:val="16"/>
        </w:rPr>
        <w:t xml:space="preserve"> </w:t>
      </w:r>
      <w:r>
        <w:rPr>
          <w:i/>
          <w:sz w:val="16"/>
        </w:rPr>
        <w:t xml:space="preserve"> “Gli incarichi dirigenziali, interni e esterni, nelle pubbliche amministrazioni, negli enti pubblici e negli </w:t>
      </w:r>
      <w:r>
        <w:rPr>
          <w:b/>
          <w:i/>
          <w:sz w:val="16"/>
        </w:rPr>
        <w:t>enti di diritto privato in controllo pubblico di livello nazionale, regionale e locale</w:t>
      </w:r>
      <w:r>
        <w:rPr>
          <w:i/>
          <w:sz w:val="16"/>
        </w:rPr>
        <w:t xml:space="preserv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p>
    <w:p>
      <w:pPr>
        <w:pStyle w:val="FootnoteText"/>
        <w:ind w:start="284" w:end="142"/>
        <w:jc w:val="both"/>
        <w:rPr/>
      </w:pPr>
      <w:r>
        <w:rPr/>
      </w:r>
    </w:p>
  </w:footnote>
  <w:footnote w:id="12">
    <w:p>
      <w:pPr>
        <w:pStyle w:val="FootnoteText"/>
        <w:tabs>
          <w:tab w:val="clear" w:pos="284"/>
          <w:tab w:val="clear" w:pos="567"/>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start="284" w:end="142"/>
        <w:jc w:val="both"/>
        <w:rPr>
          <w:i/>
          <w:sz w:val="16"/>
        </w:rPr>
      </w:pPr>
      <w:r>
        <w:rPr>
          <w:rStyle w:val="Caratterinotaapidipagina"/>
        </w:rPr>
        <w:footnoteRef/>
      </w:r>
      <w:r>
        <w:rPr/>
        <w:t xml:space="preserve"> </w:t>
      </w:r>
      <w:r>
        <w:rPr>
          <w:b/>
          <w:iCs/>
          <w:sz w:val="16"/>
        </w:rPr>
        <w:t>Art.</w:t>
      </w:r>
      <w:r>
        <w:rPr>
          <w:rFonts w:cs="Calibri" w:ascii="Calibri" w:hAnsi="Calibri"/>
          <w:b/>
          <w:iCs/>
          <w:sz w:val="16"/>
        </w:rPr>
        <w:t> </w:t>
      </w:r>
      <w:r>
        <w:rPr>
          <w:b/>
          <w:iCs/>
          <w:sz w:val="16"/>
        </w:rPr>
        <w:t>12, comma 3:</w:t>
      </w:r>
      <w:r>
        <w:rPr>
          <w:i/>
          <w:sz w:val="16"/>
        </w:rPr>
        <w:t xml:space="preserve"> “Gli incarichi dirigenziali, interni e esterni, nelle pubbliche amministrazioni, negli enti pubblici e negli </w:t>
      </w:r>
      <w:r>
        <w:rPr>
          <w:b/>
          <w:i/>
          <w:sz w:val="16"/>
        </w:rPr>
        <w:t>enti di diritto privato in controllo pubblico di livello regionale</w:t>
      </w:r>
      <w:r>
        <w:rPr>
          <w:i/>
          <w:sz w:val="16"/>
        </w:rPr>
        <w:t xml:space="preserve"> sono incompatibili: a) con la carica di componente della giunta o del consiglio della regione interessata;</w:t>
      </w:r>
    </w:p>
    <w:p>
      <w:pPr>
        <w:pStyle w:val="FootnoteText"/>
        <w:tabs>
          <w:tab w:val="clear" w:pos="284"/>
          <w:tab w:val="clear" w:pos="567"/>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start="284" w:end="142"/>
        <w:jc w:val="both"/>
        <w:rPr>
          <w:i/>
          <w:sz w:val="16"/>
        </w:rPr>
      </w:pPr>
      <w:r>
        <w:rPr>
          <w:i/>
          <w:sz w:val="16"/>
        </w:rPr>
        <w:t>b) con la carica di componente della giunta o del consiglio di una provincia, di un comune con popolazione superiore ai 15.000 abitanti o di una forma associativa tra comuni avente la medesima popolazione della medesima regione; c) con la carica di presidente e amministratore delegato di enti di diritto privato in controllo pubblico da parte della regione”.</w:t>
      </w:r>
    </w:p>
    <w:p>
      <w:pPr>
        <w:pStyle w:val="FootnoteText"/>
        <w:ind w:hanging="1417" w:start="1701" w:end="142"/>
        <w:jc w:val="both"/>
        <w:rPr/>
      </w:pPr>
      <w:r>
        <w:rPr/>
      </w:r>
    </w:p>
  </w:footnote>
  <w:footnote w:id="13">
    <w:p>
      <w:pPr>
        <w:pStyle w:val="FootnoteText"/>
        <w:tabs>
          <w:tab w:val="clear" w:pos="284"/>
          <w:tab w:val="clear" w:pos="567"/>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ind w:start="284" w:end="142"/>
        <w:jc w:val="both"/>
        <w:rPr>
          <w:i/>
          <w:sz w:val="18"/>
        </w:rPr>
      </w:pPr>
      <w:r>
        <w:rPr>
          <w:rStyle w:val="Caratterinotaapidipagina"/>
        </w:rPr>
        <w:footnoteRef/>
      </w:r>
      <w:r>
        <w:rPr/>
        <w:t xml:space="preserve"> </w:t>
      </w:r>
      <w:r>
        <w:rPr>
          <w:b/>
          <w:iCs/>
          <w:sz w:val="16"/>
        </w:rPr>
        <w:t>Art.</w:t>
      </w:r>
      <w:r>
        <w:rPr>
          <w:rFonts w:cs="Calibri" w:ascii="Calibri" w:hAnsi="Calibri"/>
          <w:b/>
          <w:iCs/>
          <w:sz w:val="16"/>
        </w:rPr>
        <w:t> </w:t>
      </w:r>
      <w:r>
        <w:rPr>
          <w:b/>
          <w:iCs/>
          <w:sz w:val="16"/>
        </w:rPr>
        <w:t>12, comma 4:</w:t>
      </w:r>
      <w:r>
        <w:rPr>
          <w:i/>
          <w:sz w:val="16"/>
        </w:rPr>
        <w:t xml:space="preserve"> “Gli incarichi dirigenziali, interni e esterni, nelle pubbliche amministrazioni, negli enti pubblici e negli </w:t>
      </w:r>
      <w:r>
        <w:rPr>
          <w:b/>
          <w:bCs/>
          <w:i/>
          <w:sz w:val="16"/>
        </w:rPr>
        <w:t>enti di diritto privato in controllo pubblico di livello provinciale o comunale</w:t>
      </w:r>
      <w:r>
        <w:rPr>
          <w:i/>
          <w:sz w:val="16"/>
        </w:rPr>
        <w:t xml:space="preserve"> sono incompatibili: a) con la carica di componente della giunta o del consiglio della regione; 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pPr>
        <w:pStyle w:val="FootnoteText"/>
        <w:ind w:hanging="283" w:start="567" w:end="142"/>
        <w:rPr/>
      </w:pPr>
      <w:r>
        <w:rPr/>
      </w:r>
    </w:p>
  </w:footnote>
  <w:footnote w:id="14">
    <w:p>
      <w:pPr>
        <w:pStyle w:val="FootnoteText"/>
        <w:ind w:start="284" w:end="142"/>
        <w:rPr/>
      </w:pPr>
      <w:r>
        <w:rPr>
          <w:rStyle w:val="Caratterinotaapidipagina"/>
        </w:rPr>
        <w:footnoteRef/>
      </w:r>
      <w:r>
        <w:rPr/>
        <w:t xml:space="preserve"> </w:t>
      </w:r>
      <w:bookmarkStart w:id="5" w:name="Copia_Copia__Hlk210813766_1_1"/>
      <w:bookmarkStart w:id="6" w:name="Copia_Copia__Hlk210815328_1_1"/>
      <w:r>
        <w:rPr>
          <w:bCs/>
          <w:sz w:val="16"/>
        </w:rPr>
        <w:t xml:space="preserve">Ai sensi </w:t>
      </w:r>
      <w:r>
        <w:rPr>
          <w:b/>
          <w:sz w:val="16"/>
        </w:rPr>
        <w:t>dell’art. 14, co, 2, del d.lgs. n. 33/2013</w:t>
      </w:r>
      <w:r>
        <w:rPr>
          <w:sz w:val="16"/>
        </w:rPr>
        <w:t>, le pubbliche amministrazioni pubblicano i dati per i tre anni successivi dalla cessazione         del mandato o dell'incarico dei soggetti</w:t>
      </w:r>
      <w:bookmarkEnd w:id="5"/>
      <w:r>
        <w:rPr>
          <w:sz w:val="16"/>
        </w:rPr>
        <w:t>.</w:t>
      </w:r>
      <w:bookmarkEnd w:id="6"/>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firstRow="1" w:noVBand="1" w:lastRow="0" w:firstColumn="1" w:lastColumn="0" w:noHBand="0" w:val="04a0"/>
    </w:tblPr>
    <w:tblGrid>
      <w:gridCol w:w="8562"/>
      <w:gridCol w:w="1076"/>
    </w:tblGrid>
    <w:tr>
      <w:trPr>
        <w:trHeight w:val="288" w:hRule="atLeast"/>
      </w:trPr>
      <w:tc>
        <w:tcPr>
          <w:tcW w:w="8562" w:type="dxa"/>
          <w:tcBorders>
            <w:bottom w:val="single" w:sz="18" w:space="0" w:color="808080"/>
            <w:end w:val="single" w:sz="18" w:space="0" w:color="808080"/>
          </w:tcBorders>
        </w:tcPr>
        <w:p>
          <w:pPr>
            <w:pStyle w:val="Header"/>
            <w:jc w:val="both"/>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DICHIARAZIONE SULLA INSUSSISTENZA DI CAUSE DI INCOMPATIBILITA’ ex art. 20 d.lgs. n. 39/2013</w:t>
          </w:r>
        </w:p>
      </w:tc>
      <w:tc>
        <w:tcPr>
          <w:tcW w:w="1076" w:type="dxa"/>
          <w:tcBorders>
            <w:start w:val="single" w:sz="18" w:space="0" w:color="808080"/>
            <w:bottom w:val="single" w:sz="18" w:space="0" w:color="808080"/>
          </w:tcBorders>
        </w:tcPr>
        <w:p>
          <w:pPr>
            <w:pStyle w:val="Header"/>
            <w:rPr>
              <w:rFonts w:ascii="Cambria" w:hAnsi="Cambria" w:eastAsia="" w:cs="" w:asciiTheme="majorHAnsi" w:cstheme="majorBidi" w:eastAsiaTheme="majorEastAsia" w:hAnsiTheme="majorHAnsi"/>
              <w:b/>
              <w:bCs/>
              <w:color w:themeColor="accent1" w:val="4F81BD"/>
              <w:sz w:val="36"/>
              <w:szCs w:val="36"/>
            </w:rPr>
          </w:pPr>
          <w:r>
            <w:rPr>
              <w:rFonts w:eastAsia="" w:cs="" w:cstheme="majorBidi" w:eastAsiaTheme="majorEastAsia" w:ascii="Cambria" w:hAnsi="Cambria"/>
              <w:b/>
              <w:bCs/>
              <w:color w:themeColor="accent1" w:val="4F81BD"/>
              <w:sz w:val="36"/>
              <w:szCs w:val="3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72" w:type="dxa"/>
        <w:start w:w="115" w:type="dxa"/>
        <w:bottom w:w="72" w:type="dxa"/>
        <w:end w:w="115" w:type="dxa"/>
      </w:tblCellMar>
      <w:tblLook w:firstRow="1" w:noVBand="1" w:lastRow="0" w:firstColumn="1" w:lastColumn="0" w:noHBand="0" w:val="04a0"/>
    </w:tblPr>
    <w:tblGrid>
      <w:gridCol w:w="8562"/>
      <w:gridCol w:w="1076"/>
    </w:tblGrid>
    <w:tr>
      <w:trPr>
        <w:trHeight w:val="288" w:hRule="atLeast"/>
      </w:trPr>
      <w:tc>
        <w:tcPr>
          <w:tcW w:w="8562" w:type="dxa"/>
          <w:tcBorders>
            <w:bottom w:val="single" w:sz="18" w:space="0" w:color="808080"/>
            <w:end w:val="single" w:sz="18" w:space="0" w:color="808080"/>
          </w:tcBorders>
        </w:tcPr>
        <w:p>
          <w:pPr>
            <w:pStyle w:val="Header"/>
            <w:jc w:val="both"/>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DICHIARAZIONE SULLA INSUSSISTENZA DI CAUSE DI INCOMPATIBILITA’ ex art. 20 d.lgs. n. 39/2013</w:t>
          </w:r>
        </w:p>
      </w:tc>
      <w:tc>
        <w:tcPr>
          <w:tcW w:w="1076" w:type="dxa"/>
          <w:tcBorders>
            <w:start w:val="single" w:sz="18" w:space="0" w:color="808080"/>
            <w:bottom w:val="single" w:sz="18" w:space="0" w:color="808080"/>
          </w:tcBorders>
        </w:tcPr>
        <w:p>
          <w:pPr>
            <w:pStyle w:val="Header"/>
            <w:rPr>
              <w:rFonts w:ascii="Cambria" w:hAnsi="Cambria" w:eastAsia="" w:cs="" w:asciiTheme="majorHAnsi" w:cstheme="majorBidi" w:eastAsiaTheme="majorEastAsia" w:hAnsiTheme="majorHAnsi"/>
              <w:b/>
              <w:bCs/>
              <w:color w:themeColor="accent1" w:val="4F81BD"/>
              <w:sz w:val="36"/>
              <w:szCs w:val="36"/>
            </w:rPr>
          </w:pPr>
          <w:r>
            <w:rPr>
              <w:rFonts w:eastAsia="" w:cs="" w:cstheme="majorBidi" w:eastAsiaTheme="majorEastAsia" w:ascii="Cambria" w:hAnsi="Cambria"/>
              <w:b/>
              <w:bCs/>
              <w:color w:themeColor="accent1" w:val="4F81BD"/>
              <w:sz w:val="36"/>
              <w:szCs w:val="3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069" w:hanging="360"/>
      </w:pPr>
      <w:rPr>
        <w:rFonts w:ascii="Calibri" w:hAnsi="Calibri" w:cs="Calibri" w:hint="default"/>
      </w:rPr>
    </w:lvl>
    <w:lvl w:ilvl="1">
      <w:start w:val="1"/>
      <w:numFmt w:val="bullet"/>
      <w:lvlText w:val="o"/>
      <w:lvlJc w:val="start"/>
      <w:pPr>
        <w:tabs>
          <w:tab w:val="num" w:pos="0"/>
        </w:tabs>
        <w:ind w:start="1789" w:hanging="360"/>
      </w:pPr>
      <w:rPr>
        <w:rFonts w:ascii="Courier New" w:hAnsi="Courier New" w:cs="Courier New" w:hint="default"/>
      </w:rPr>
    </w:lvl>
    <w:lvl w:ilvl="2">
      <w:start w:val="1"/>
      <w:numFmt w:val="bullet"/>
      <w:lvlText w:val=""/>
      <w:lvlJc w:val="start"/>
      <w:pPr>
        <w:tabs>
          <w:tab w:val="num" w:pos="0"/>
        </w:tabs>
        <w:ind w:start="2509" w:hanging="360"/>
      </w:pPr>
      <w:rPr>
        <w:rFonts w:ascii="Wingdings" w:hAnsi="Wingdings" w:cs="Wingdings" w:hint="default"/>
      </w:rPr>
    </w:lvl>
    <w:lvl w:ilvl="3">
      <w:start w:val="1"/>
      <w:numFmt w:val="bullet"/>
      <w:lvlText w:val=""/>
      <w:lvlJc w:val="start"/>
      <w:pPr>
        <w:tabs>
          <w:tab w:val="num" w:pos="0"/>
        </w:tabs>
        <w:ind w:start="3229" w:hanging="360"/>
      </w:pPr>
      <w:rPr>
        <w:rFonts w:ascii="Symbol" w:hAnsi="Symbol" w:cs="Symbol" w:hint="default"/>
      </w:rPr>
    </w:lvl>
    <w:lvl w:ilvl="4">
      <w:start w:val="1"/>
      <w:numFmt w:val="bullet"/>
      <w:lvlText w:val="o"/>
      <w:lvlJc w:val="start"/>
      <w:pPr>
        <w:tabs>
          <w:tab w:val="num" w:pos="0"/>
        </w:tabs>
        <w:ind w:start="3949" w:hanging="360"/>
      </w:pPr>
      <w:rPr>
        <w:rFonts w:ascii="Courier New" w:hAnsi="Courier New" w:cs="Courier New" w:hint="default"/>
      </w:rPr>
    </w:lvl>
    <w:lvl w:ilvl="5">
      <w:start w:val="1"/>
      <w:numFmt w:val="bullet"/>
      <w:lvlText w:val=""/>
      <w:lvlJc w:val="start"/>
      <w:pPr>
        <w:tabs>
          <w:tab w:val="num" w:pos="0"/>
        </w:tabs>
        <w:ind w:start="4669" w:hanging="360"/>
      </w:pPr>
      <w:rPr>
        <w:rFonts w:ascii="Wingdings" w:hAnsi="Wingdings" w:cs="Wingdings" w:hint="default"/>
      </w:rPr>
    </w:lvl>
    <w:lvl w:ilvl="6">
      <w:start w:val="1"/>
      <w:numFmt w:val="bullet"/>
      <w:lvlText w:val=""/>
      <w:lvlJc w:val="start"/>
      <w:pPr>
        <w:tabs>
          <w:tab w:val="num" w:pos="0"/>
        </w:tabs>
        <w:ind w:start="5389" w:hanging="360"/>
      </w:pPr>
      <w:rPr>
        <w:rFonts w:ascii="Symbol" w:hAnsi="Symbol" w:cs="Symbol" w:hint="default"/>
      </w:rPr>
    </w:lvl>
    <w:lvl w:ilvl="7">
      <w:start w:val="1"/>
      <w:numFmt w:val="bullet"/>
      <w:lvlText w:val="o"/>
      <w:lvlJc w:val="start"/>
      <w:pPr>
        <w:tabs>
          <w:tab w:val="num" w:pos="0"/>
        </w:tabs>
        <w:ind w:start="6109" w:hanging="360"/>
      </w:pPr>
      <w:rPr>
        <w:rFonts w:ascii="Courier New" w:hAnsi="Courier New" w:cs="Courier New" w:hint="default"/>
      </w:rPr>
    </w:lvl>
    <w:lvl w:ilvl="8">
      <w:start w:val="1"/>
      <w:numFmt w:val="bullet"/>
      <w:lvlText w:val=""/>
      <w:lvlJc w:val="start"/>
      <w:pPr>
        <w:tabs>
          <w:tab w:val="num" w:pos="0"/>
        </w:tabs>
        <w:ind w:start="6829"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2"/>
      <w:numFmt w:val="decimal"/>
      <w:isLgl/>
      <w:lvlText w:val="%1.%2."/>
      <w:lvlJc w:val="start"/>
      <w:pPr>
        <w:tabs>
          <w:tab w:val="num" w:pos="0"/>
        </w:tabs>
        <w:ind w:start="720" w:hanging="360"/>
      </w:pPr>
      <w:rPr>
        <w:b/>
      </w:rPr>
    </w:lvl>
    <w:lvl w:ilvl="2">
      <w:start w:val="1"/>
      <w:numFmt w:val="decimal"/>
      <w:isLgl/>
      <w:lvlText w:val="%1.%2.%3."/>
      <w:lvlJc w:val="start"/>
      <w:pPr>
        <w:tabs>
          <w:tab w:val="num" w:pos="0"/>
        </w:tabs>
        <w:ind w:start="1080" w:hanging="720"/>
      </w:pPr>
      <w:rPr>
        <w:b/>
      </w:rPr>
    </w:lvl>
    <w:lvl w:ilvl="3">
      <w:start w:val="1"/>
      <w:numFmt w:val="decimal"/>
      <w:isLgl/>
      <w:lvlText w:val="%1.%2.%3.%4."/>
      <w:lvlJc w:val="start"/>
      <w:pPr>
        <w:tabs>
          <w:tab w:val="num" w:pos="0"/>
        </w:tabs>
        <w:ind w:start="1080" w:hanging="720"/>
      </w:pPr>
      <w:rPr>
        <w:b/>
      </w:rPr>
    </w:lvl>
    <w:lvl w:ilvl="4">
      <w:start w:val="1"/>
      <w:numFmt w:val="decimal"/>
      <w:isLgl/>
      <w:lvlText w:val="%1.%2.%3.%4.%5."/>
      <w:lvlJc w:val="start"/>
      <w:pPr>
        <w:tabs>
          <w:tab w:val="num" w:pos="0"/>
        </w:tabs>
        <w:ind w:start="1440" w:hanging="1080"/>
      </w:pPr>
      <w:rPr>
        <w:b/>
      </w:rPr>
    </w:lvl>
    <w:lvl w:ilvl="5">
      <w:start w:val="1"/>
      <w:numFmt w:val="decimal"/>
      <w:isLgl/>
      <w:lvlText w:val="%1.%2.%3.%4.%5.%6."/>
      <w:lvlJc w:val="start"/>
      <w:pPr>
        <w:tabs>
          <w:tab w:val="num" w:pos="0"/>
        </w:tabs>
        <w:ind w:start="1440" w:hanging="1080"/>
      </w:pPr>
      <w:rPr>
        <w:b/>
      </w:rPr>
    </w:lvl>
    <w:lvl w:ilvl="6">
      <w:start w:val="1"/>
      <w:numFmt w:val="decimal"/>
      <w:isLgl/>
      <w:lvlText w:val="%1.%2.%3.%4.%5.%6.%7."/>
      <w:lvlJc w:val="start"/>
      <w:pPr>
        <w:tabs>
          <w:tab w:val="num" w:pos="0"/>
        </w:tabs>
        <w:ind w:start="1800" w:hanging="1440"/>
      </w:pPr>
      <w:rPr>
        <w:b/>
      </w:rPr>
    </w:lvl>
    <w:lvl w:ilvl="7">
      <w:start w:val="1"/>
      <w:numFmt w:val="decimal"/>
      <w:isLgl/>
      <w:lvlText w:val="%1.%2.%3.%4.%5.%6.%7.%8."/>
      <w:lvlJc w:val="start"/>
      <w:pPr>
        <w:tabs>
          <w:tab w:val="num" w:pos="0"/>
        </w:tabs>
        <w:ind w:start="1800" w:hanging="1440"/>
      </w:pPr>
      <w:rPr>
        <w:b/>
      </w:rPr>
    </w:lvl>
    <w:lvl w:ilvl="8">
      <w:start w:val="1"/>
      <w:numFmt w:val="decimal"/>
      <w:isLgl/>
      <w:lvlText w:val="%1.%2.%3.%4.%5.%6.%7.%8.%9."/>
      <w:lvlJc w:val="start"/>
      <w:pPr>
        <w:tabs>
          <w:tab w:val="num" w:pos="0"/>
        </w:tabs>
        <w:ind w:start="1800" w:hanging="1440"/>
      </w:pPr>
      <w:rPr>
        <w:b/>
      </w:rPr>
    </w:lvl>
  </w:abstractNum>
  <w:abstractNum w:abstractNumId="3">
    <w:lvl w:ilvl="0">
      <w:start w:val="1"/>
      <w:numFmt w:val="decimal"/>
      <w:lvlText w:val="%1."/>
      <w:lvlJc w:val="start"/>
      <w:pPr>
        <w:tabs>
          <w:tab w:val="num" w:pos="0"/>
        </w:tabs>
        <w:ind w:start="360" w:hanging="360"/>
      </w:pPr>
      <w:rPr>
        <w:b/>
      </w:rPr>
    </w:lvl>
    <w:lvl w:ilvl="1">
      <w:start w:val="2"/>
      <w:numFmt w:val="decimal"/>
      <w:lvlText w:val="%1.%2."/>
      <w:lvlJc w:val="start"/>
      <w:pPr>
        <w:tabs>
          <w:tab w:val="num" w:pos="0"/>
        </w:tabs>
        <w:ind w:start="360" w:hanging="360"/>
      </w:pPr>
      <w:rPr>
        <w:b/>
      </w:rPr>
    </w:lvl>
    <w:lvl w:ilvl="2">
      <w:start w:val="1"/>
      <w:numFmt w:val="decimal"/>
      <w:lvlText w:val="%1.%2.)%3."/>
      <w:lvlJc w:val="start"/>
      <w:pPr>
        <w:tabs>
          <w:tab w:val="num" w:pos="0"/>
        </w:tabs>
        <w:ind w:start="720" w:hanging="720"/>
      </w:pPr>
      <w:rPr>
        <w:b/>
      </w:rPr>
    </w:lvl>
    <w:lvl w:ilvl="3">
      <w:start w:val="1"/>
      <w:numFmt w:val="decimal"/>
      <w:lvlText w:val="%1.%2.)%3.%4."/>
      <w:lvlJc w:val="start"/>
      <w:pPr>
        <w:tabs>
          <w:tab w:val="num" w:pos="0"/>
        </w:tabs>
        <w:ind w:start="720" w:hanging="720"/>
      </w:pPr>
      <w:rPr>
        <w:b/>
      </w:rPr>
    </w:lvl>
    <w:lvl w:ilvl="4">
      <w:start w:val="1"/>
      <w:numFmt w:val="decimal"/>
      <w:lvlText w:val="%1.%2.)%3.%4.%5."/>
      <w:lvlJc w:val="start"/>
      <w:pPr>
        <w:tabs>
          <w:tab w:val="num" w:pos="0"/>
        </w:tabs>
        <w:ind w:start="1080" w:hanging="1080"/>
      </w:pPr>
      <w:rPr>
        <w:b/>
      </w:rPr>
    </w:lvl>
    <w:lvl w:ilvl="5">
      <w:start w:val="1"/>
      <w:numFmt w:val="decimal"/>
      <w:lvlText w:val="%1.%2.)%3.%4.%5.%6."/>
      <w:lvlJc w:val="start"/>
      <w:pPr>
        <w:tabs>
          <w:tab w:val="num" w:pos="0"/>
        </w:tabs>
        <w:ind w:start="1080" w:hanging="1080"/>
      </w:pPr>
      <w:rPr>
        <w:b/>
      </w:rPr>
    </w:lvl>
    <w:lvl w:ilvl="6">
      <w:start w:val="1"/>
      <w:numFmt w:val="decimal"/>
      <w:lvlText w:val="%1.%2.)%3.%4.%5.%6.%7."/>
      <w:lvlJc w:val="start"/>
      <w:pPr>
        <w:tabs>
          <w:tab w:val="num" w:pos="0"/>
        </w:tabs>
        <w:ind w:start="1440" w:hanging="1440"/>
      </w:pPr>
      <w:rPr>
        <w:b/>
      </w:rPr>
    </w:lvl>
    <w:lvl w:ilvl="7">
      <w:start w:val="1"/>
      <w:numFmt w:val="decimal"/>
      <w:lvlText w:val="%1.%2.)%3.%4.%5.%6.%7.%8."/>
      <w:lvlJc w:val="start"/>
      <w:pPr>
        <w:tabs>
          <w:tab w:val="num" w:pos="0"/>
        </w:tabs>
        <w:ind w:start="1440" w:hanging="1440"/>
      </w:pPr>
      <w:rPr>
        <w:b/>
      </w:rPr>
    </w:lvl>
    <w:lvl w:ilvl="8">
      <w:start w:val="1"/>
      <w:numFmt w:val="decimal"/>
      <w:lvlText w:val="%1.%2.)%3.%4.%5.%6.%7.%8.%9."/>
      <w:lvlJc w:val="start"/>
      <w:pPr>
        <w:tabs>
          <w:tab w:val="num" w:pos="0"/>
        </w:tabs>
        <w:ind w:start="1800" w:hanging="1800"/>
      </w:pPr>
      <w:rPr>
        <w:b/>
      </w:rPr>
    </w:lvl>
  </w:abstractNum>
  <w:abstractNum w:abstractNumId="4">
    <w:lvl w:ilvl="0">
      <w:start w:val="1"/>
      <w:numFmt w:val="decimal"/>
      <w:lvlText w:val="%1."/>
      <w:lvlJc w:val="start"/>
      <w:pPr>
        <w:tabs>
          <w:tab w:val="num" w:pos="0"/>
        </w:tabs>
        <w:ind w:start="360" w:hanging="360"/>
      </w:pPr>
      <w:rPr>
        <w:b/>
      </w:rPr>
    </w:lvl>
    <w:lvl w:ilvl="1">
      <w:start w:val="1"/>
      <w:numFmt w:val="decimal"/>
      <w:lvlText w:val="%1.%2."/>
      <w:lvlJc w:val="start"/>
      <w:pPr>
        <w:tabs>
          <w:tab w:val="num" w:pos="0"/>
        </w:tabs>
        <w:ind w:start="360" w:hanging="360"/>
      </w:pPr>
      <w:rPr>
        <w:b/>
      </w:rPr>
    </w:lvl>
    <w:lvl w:ilvl="2">
      <w:start w:val="1"/>
      <w:numFmt w:val="decimal"/>
      <w:lvlText w:val="%1.%2.%3."/>
      <w:lvlJc w:val="start"/>
      <w:pPr>
        <w:tabs>
          <w:tab w:val="num" w:pos="0"/>
        </w:tabs>
        <w:ind w:start="720" w:hanging="720"/>
      </w:pPr>
      <w:rPr>
        <w:b/>
      </w:rPr>
    </w:lvl>
    <w:lvl w:ilvl="3">
      <w:start w:val="1"/>
      <w:numFmt w:val="decimal"/>
      <w:lvlText w:val="%1.%2.%3.%4."/>
      <w:lvlJc w:val="start"/>
      <w:pPr>
        <w:tabs>
          <w:tab w:val="num" w:pos="0"/>
        </w:tabs>
        <w:ind w:start="720" w:hanging="720"/>
      </w:pPr>
      <w:rPr>
        <w:b/>
      </w:rPr>
    </w:lvl>
    <w:lvl w:ilvl="4">
      <w:start w:val="1"/>
      <w:numFmt w:val="decimal"/>
      <w:lvlText w:val="%1.%2.%3.%4.%5."/>
      <w:lvlJc w:val="start"/>
      <w:pPr>
        <w:tabs>
          <w:tab w:val="num" w:pos="0"/>
        </w:tabs>
        <w:ind w:start="1080" w:hanging="1080"/>
      </w:pPr>
      <w:rPr>
        <w:b/>
      </w:rPr>
    </w:lvl>
    <w:lvl w:ilvl="5">
      <w:start w:val="1"/>
      <w:numFmt w:val="decimal"/>
      <w:lvlText w:val="%1.%2.%3.%4.%5.%6."/>
      <w:lvlJc w:val="start"/>
      <w:pPr>
        <w:tabs>
          <w:tab w:val="num" w:pos="0"/>
        </w:tabs>
        <w:ind w:start="1080" w:hanging="1080"/>
      </w:pPr>
      <w:rPr>
        <w:b/>
      </w:rPr>
    </w:lvl>
    <w:lvl w:ilvl="6">
      <w:start w:val="1"/>
      <w:numFmt w:val="decimal"/>
      <w:lvlText w:val="%1.%2.%3.%4.%5.%6.%7."/>
      <w:lvlJc w:val="start"/>
      <w:pPr>
        <w:tabs>
          <w:tab w:val="num" w:pos="0"/>
        </w:tabs>
        <w:ind w:start="1440" w:hanging="1440"/>
      </w:pPr>
      <w:rPr>
        <w:b/>
      </w:rPr>
    </w:lvl>
    <w:lvl w:ilvl="7">
      <w:start w:val="1"/>
      <w:numFmt w:val="decimal"/>
      <w:lvlText w:val="%1.%2.%3.%4.%5.%6.%7.%8."/>
      <w:lvlJc w:val="start"/>
      <w:pPr>
        <w:tabs>
          <w:tab w:val="num" w:pos="0"/>
        </w:tabs>
        <w:ind w:start="1440" w:hanging="1440"/>
      </w:pPr>
      <w:rPr>
        <w:b/>
      </w:rPr>
    </w:lvl>
    <w:lvl w:ilvl="8">
      <w:start w:val="1"/>
      <w:numFmt w:val="decimal"/>
      <w:lvlText w:val="%1.%2.%3.%4.%5.%6.%7.%8.%9."/>
      <w:lvlJc w:val="start"/>
      <w:pPr>
        <w:tabs>
          <w:tab w:val="num" w:pos="0"/>
        </w:tabs>
        <w:ind w:start="1440" w:hanging="1440"/>
      </w:pPr>
      <w:rPr>
        <w:b/>
      </w:rPr>
    </w:lvl>
  </w:abstractNum>
  <w:abstractNum w:abstractNumId="5">
    <w:lvl w:ilvl="0">
      <w:start w:val="2"/>
      <w:numFmt w:val="decimal"/>
      <w:lvlText w:val="%1."/>
      <w:lvlJc w:val="start"/>
      <w:pPr>
        <w:tabs>
          <w:tab w:val="num" w:pos="0"/>
        </w:tabs>
        <w:ind w:start="360" w:hanging="360"/>
      </w:pPr>
      <w:rPr>
        <w:rFonts w:cs="" w:cstheme="minorBidi"/>
        <w:u w:val="none"/>
      </w:rPr>
    </w:lvl>
    <w:lvl w:ilvl="1">
      <w:start w:val="1"/>
      <w:numFmt w:val="decimal"/>
      <w:lvlText w:val="%1.%2."/>
      <w:lvlJc w:val="start"/>
      <w:pPr>
        <w:tabs>
          <w:tab w:val="num" w:pos="0"/>
        </w:tabs>
        <w:ind w:start="360" w:hanging="360"/>
      </w:pPr>
      <w:rPr>
        <w:rFonts w:cs="" w:cstheme="minorBidi"/>
        <w:u w:val="none"/>
      </w:rPr>
    </w:lvl>
    <w:lvl w:ilvl="2">
      <w:start w:val="1"/>
      <w:numFmt w:val="decimal"/>
      <w:lvlText w:val="%1.%2.%3."/>
      <w:lvlJc w:val="start"/>
      <w:pPr>
        <w:tabs>
          <w:tab w:val="num" w:pos="0"/>
        </w:tabs>
        <w:ind w:start="720" w:hanging="720"/>
      </w:pPr>
      <w:rPr>
        <w:rFonts w:cs="" w:cstheme="minorBidi"/>
        <w:u w:val="none"/>
      </w:rPr>
    </w:lvl>
    <w:lvl w:ilvl="3">
      <w:start w:val="1"/>
      <w:numFmt w:val="decimal"/>
      <w:lvlText w:val="%1.%2.%3.%4."/>
      <w:lvlJc w:val="start"/>
      <w:pPr>
        <w:tabs>
          <w:tab w:val="num" w:pos="0"/>
        </w:tabs>
        <w:ind w:start="720" w:hanging="720"/>
      </w:pPr>
      <w:rPr>
        <w:rFonts w:cs="" w:cstheme="minorBidi"/>
        <w:u w:val="none"/>
      </w:rPr>
    </w:lvl>
    <w:lvl w:ilvl="4">
      <w:start w:val="1"/>
      <w:numFmt w:val="decimal"/>
      <w:lvlText w:val="%1.%2.%3.%4.%5."/>
      <w:lvlJc w:val="start"/>
      <w:pPr>
        <w:tabs>
          <w:tab w:val="num" w:pos="0"/>
        </w:tabs>
        <w:ind w:start="1080" w:hanging="1080"/>
      </w:pPr>
      <w:rPr>
        <w:rFonts w:cs="" w:cstheme="minorBidi"/>
        <w:u w:val="none"/>
      </w:rPr>
    </w:lvl>
    <w:lvl w:ilvl="5">
      <w:start w:val="1"/>
      <w:numFmt w:val="decimal"/>
      <w:lvlText w:val="%1.%2.%3.%4.%5.%6."/>
      <w:lvlJc w:val="start"/>
      <w:pPr>
        <w:tabs>
          <w:tab w:val="num" w:pos="0"/>
        </w:tabs>
        <w:ind w:start="1080" w:hanging="1080"/>
      </w:pPr>
      <w:rPr>
        <w:rFonts w:cs="" w:cstheme="minorBidi"/>
        <w:u w:val="none"/>
      </w:rPr>
    </w:lvl>
    <w:lvl w:ilvl="6">
      <w:start w:val="1"/>
      <w:numFmt w:val="decimal"/>
      <w:lvlText w:val="%1.%2.%3.%4.%5.%6.%7."/>
      <w:lvlJc w:val="start"/>
      <w:pPr>
        <w:tabs>
          <w:tab w:val="num" w:pos="0"/>
        </w:tabs>
        <w:ind w:start="1440" w:hanging="1440"/>
      </w:pPr>
      <w:rPr>
        <w:rFonts w:cs="" w:cstheme="minorBidi"/>
        <w:u w:val="none"/>
      </w:rPr>
    </w:lvl>
    <w:lvl w:ilvl="7">
      <w:start w:val="1"/>
      <w:numFmt w:val="decimal"/>
      <w:lvlText w:val="%1.%2.%3.%4.%5.%6.%7.%8."/>
      <w:lvlJc w:val="start"/>
      <w:pPr>
        <w:tabs>
          <w:tab w:val="num" w:pos="0"/>
        </w:tabs>
        <w:ind w:start="1440" w:hanging="1440"/>
      </w:pPr>
      <w:rPr>
        <w:rFonts w:cs="" w:cstheme="minorBidi"/>
        <w:u w:val="none"/>
      </w:rPr>
    </w:lvl>
    <w:lvl w:ilvl="8">
      <w:start w:val="1"/>
      <w:numFmt w:val="decimal"/>
      <w:lvlText w:val="%1.%2.%3.%4.%5.%6.%7.%8.%9."/>
      <w:lvlJc w:val="start"/>
      <w:pPr>
        <w:tabs>
          <w:tab w:val="num" w:pos="0"/>
        </w:tabs>
        <w:ind w:start="1440" w:hanging="1440"/>
      </w:pPr>
      <w:rPr>
        <w:rFonts w:cs="" w:cstheme="minorBidi"/>
        <w:u w:val="non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6033"/>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940544"/>
    <w:rPr>
      <w:rFonts w:ascii="Tahoma" w:hAnsi="Tahoma" w:cs="Tahoma"/>
      <w:sz w:val="16"/>
      <w:szCs w:val="16"/>
    </w:rPr>
  </w:style>
  <w:style w:type="character" w:styleId="IntestazioneCarattere" w:customStyle="1">
    <w:name w:val="Intestazione Carattere"/>
    <w:basedOn w:val="DefaultParagraphFont"/>
    <w:uiPriority w:val="99"/>
    <w:qFormat/>
    <w:rsid w:val="001a58e6"/>
    <w:rPr/>
  </w:style>
  <w:style w:type="character" w:styleId="PidipaginaCarattere" w:customStyle="1">
    <w:name w:val="Piè di pagina Carattere"/>
    <w:basedOn w:val="DefaultParagraphFont"/>
    <w:uiPriority w:val="99"/>
    <w:qFormat/>
    <w:rsid w:val="001a58e6"/>
    <w:rPr/>
  </w:style>
  <w:style w:type="character" w:styleId="CorpotestoCarattere" w:customStyle="1">
    <w:name w:val="Corpo testo Carattere"/>
    <w:basedOn w:val="DefaultParagraphFont"/>
    <w:semiHidden/>
    <w:qFormat/>
    <w:rsid w:val="00c56ea0"/>
    <w:rPr>
      <w:rFonts w:ascii="Times New Roman" w:hAnsi="Times New Roman" w:eastAsia="Times New Roman" w:cs="Times New Roman"/>
      <w:lang w:eastAsia="it-IT"/>
    </w:rPr>
  </w:style>
  <w:style w:type="character" w:styleId="TestonotaapidipaginaCarattere" w:customStyle="1">
    <w:name w:val="Testo nota a piè di pagina Carattere"/>
    <w:basedOn w:val="DefaultParagraphFont"/>
    <w:uiPriority w:val="99"/>
    <w:qFormat/>
    <w:rsid w:val="0015463b"/>
    <w:rPr>
      <w:rFonts w:ascii="Titillium" w:hAnsi="Titillium" w:cs="Titillium Web"/>
      <w:sz w:val="20"/>
      <w:szCs w:val="20"/>
    </w:rPr>
  </w:style>
  <w:style w:type="character" w:styleId="Caratterinotaapidipaginauser">
    <w:name w:val="Caratteri nota a piè di pagina (user)"/>
    <w:basedOn w:val="DefaultParagraphFont"/>
    <w:uiPriority w:val="99"/>
    <w:semiHidden/>
    <w:unhideWhenUsed/>
    <w:qFormat/>
    <w:rsid w:val="0015463b"/>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a93037"/>
    <w:rPr>
      <w:sz w:val="16"/>
      <w:szCs w:val="16"/>
    </w:rPr>
  </w:style>
  <w:style w:type="character" w:styleId="TestocommentoCarattere" w:customStyle="1">
    <w:name w:val="Testo commento Carattere"/>
    <w:basedOn w:val="DefaultParagraphFont"/>
    <w:uiPriority w:val="99"/>
    <w:qFormat/>
    <w:rsid w:val="00a93037"/>
    <w:rPr>
      <w:sz w:val="20"/>
      <w:szCs w:val="20"/>
    </w:rPr>
  </w:style>
  <w:style w:type="character" w:styleId="SoggettocommentoCarattere" w:customStyle="1">
    <w:name w:val="Soggetto commento Carattere"/>
    <w:basedOn w:val="TestocommentoCarattere"/>
    <w:link w:val="annotationsubject"/>
    <w:uiPriority w:val="99"/>
    <w:semiHidden/>
    <w:qFormat/>
    <w:rsid w:val="00a93037"/>
    <w:rPr>
      <w:b/>
      <w:bCs/>
      <w:sz w:val="20"/>
      <w:szCs w:val="20"/>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Caratterinotadichiusurauser">
    <w:name w:val="Caratteri nota di chiusura (user)"/>
    <w:qFormat/>
    <w:rPr/>
  </w:style>
  <w:style w:type="paragraph" w:styleId="Titolo">
    <w:name w:val="Titolo"/>
    <w:basedOn w:val="Normal"/>
    <w:next w:val="BodyText"/>
    <w:qFormat/>
    <w:pPr>
      <w:keepNext w:val="true"/>
      <w:spacing w:before="240" w:after="120"/>
    </w:pPr>
    <w:rPr>
      <w:rFonts w:ascii="DejaVu Sans" w:hAnsi="DejaVu Sans" w:eastAsia="Microsoft YaHei" w:cs="Arial Unicode MS"/>
      <w:sz w:val="28"/>
      <w:szCs w:val="28"/>
    </w:rPr>
  </w:style>
  <w:style w:type="paragraph" w:styleId="BodyText">
    <w:name w:val="Body Text"/>
    <w:basedOn w:val="Normal"/>
    <w:link w:val="CorpotestoCarattere"/>
    <w:semiHidden/>
    <w:rsid w:val="00c56ea0"/>
    <w:pPr>
      <w:spacing w:lineRule="auto" w:line="240" w:before="0" w:after="0"/>
      <w:jc w:val="both"/>
    </w:pPr>
    <w:rPr>
      <w:rFonts w:ascii="Times New Roman" w:hAnsi="Times New Roman" w:eastAsia="Times New Roman" w:cs="Times New Roman"/>
      <w:lang w:eastAsia="it-IT"/>
    </w:rPr>
  </w:style>
  <w:style w:type="paragraph" w:styleId="List">
    <w:name w:val="List"/>
    <w:basedOn w:val="BodyText"/>
    <w:pPr/>
    <w:rPr>
      <w:rFonts w:ascii="DejaVu Sans" w:hAnsi="DejaVu Sans" w:cs="Arial Unicode MS"/>
    </w:rPr>
  </w:style>
  <w:style w:type="paragraph" w:styleId="Caption">
    <w:name w:val="caption"/>
    <w:basedOn w:val="Normal"/>
    <w:qFormat/>
    <w:pPr>
      <w:suppressLineNumbers/>
      <w:spacing w:before="120" w:after="120"/>
    </w:pPr>
    <w:rPr>
      <w:rFonts w:ascii="DejaVu Sans" w:hAnsi="DejaVu Sans" w:cs="Arial Unicode MS"/>
      <w:i/>
      <w:iCs/>
      <w:sz w:val="22"/>
      <w:szCs w:val="24"/>
    </w:rPr>
  </w:style>
  <w:style w:type="paragraph" w:styleId="Indice">
    <w:name w:val="Indice"/>
    <w:basedOn w:val="Normal"/>
    <w:qFormat/>
    <w:pPr>
      <w:suppressLineNumbers/>
    </w:pPr>
    <w:rPr>
      <w:rFonts w:ascii="DejaVu Sans" w:hAnsi="DejaVu Sans" w:cs="Arial Unicode MS"/>
    </w:rPr>
  </w:style>
  <w:style w:type="paragraph" w:styleId="Titolouser">
    <w:name w:val="Titolo (user)"/>
    <w:basedOn w:val="Normal"/>
    <w:next w:val="BodyText"/>
    <w:qFormat/>
    <w:pPr>
      <w:keepNext w:val="true"/>
      <w:spacing w:before="240" w:after="120"/>
    </w:pPr>
    <w:rPr>
      <w:rFonts w:ascii="DejaVu Sans" w:hAnsi="DejaVu Sans" w:eastAsia="Microsoft YaHei" w:cs="Arial Unicode MS"/>
      <w:sz w:val="28"/>
      <w:szCs w:val="28"/>
    </w:rPr>
  </w:style>
  <w:style w:type="paragraph" w:styleId="Indiceuser">
    <w:name w:val="Indice (user)"/>
    <w:basedOn w:val="Normal"/>
    <w:qFormat/>
    <w:pPr>
      <w:suppressLineNumbers/>
    </w:pPr>
    <w:rPr>
      <w:rFonts w:ascii="DejaVu Sans" w:hAnsi="DejaVu Sans" w:cs="Arial Unicode MS"/>
    </w:rPr>
  </w:style>
  <w:style w:type="paragraph" w:styleId="ListParagraph">
    <w:name w:val="List Paragraph"/>
    <w:basedOn w:val="Normal"/>
    <w:uiPriority w:val="34"/>
    <w:qFormat/>
    <w:rsid w:val="001c6033"/>
    <w:pPr>
      <w:spacing w:before="0" w:after="200"/>
      <w:ind w:start="720"/>
      <w:contextualSpacing/>
    </w:pPr>
    <w:rPr/>
  </w:style>
  <w:style w:type="paragraph" w:styleId="BalloonText">
    <w:name w:val="Balloon Text"/>
    <w:basedOn w:val="Normal"/>
    <w:link w:val="TestofumettoCarattere"/>
    <w:uiPriority w:val="99"/>
    <w:semiHidden/>
    <w:unhideWhenUsed/>
    <w:qFormat/>
    <w:rsid w:val="00940544"/>
    <w:pPr>
      <w:spacing w:lineRule="auto" w:line="240" w:before="0" w:after="0"/>
    </w:pPr>
    <w:rPr>
      <w:rFonts w:ascii="Tahoma" w:hAnsi="Tahoma" w:cs="Tahoma"/>
      <w:sz w:val="16"/>
      <w:szCs w:val="16"/>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1a58e6"/>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a58e6"/>
    <w:pPr>
      <w:tabs>
        <w:tab w:val="clear" w:pos="708"/>
        <w:tab w:val="center" w:pos="4819" w:leader="none"/>
        <w:tab w:val="right" w:pos="9638" w:leader="none"/>
      </w:tabs>
      <w:spacing w:lineRule="auto" w:line="240" w:before="0" w:after="0"/>
    </w:pPr>
    <w:rPr/>
  </w:style>
  <w:style w:type="paragraph" w:styleId="FootnoteText">
    <w:name w:val="footnote text"/>
    <w:basedOn w:val="Normal"/>
    <w:link w:val="TestonotaapidipaginaCarattere"/>
    <w:uiPriority w:val="99"/>
    <w:unhideWhenUsed/>
    <w:rsid w:val="0015463b"/>
    <w:pPr>
      <w:tabs>
        <w:tab w:val="left" w:pos="284" w:leader="none"/>
        <w:tab w:val="left" w:pos="567" w:leader="none"/>
        <w:tab w:val="left" w:pos="708" w:leader="none"/>
        <w:tab w:val="left" w:pos="851" w:leader="none"/>
        <w:tab w:val="left" w:pos="1134" w:leader="none"/>
        <w:tab w:val="left" w:pos="1418" w:leader="none"/>
        <w:tab w:val="left" w:pos="2124" w:leader="none"/>
        <w:tab w:val="right" w:pos="2268" w:leader="none"/>
        <w:tab w:val="left" w:pos="2835" w:leader="none"/>
        <w:tab w:val="left" w:pos="3540" w:leader="none"/>
        <w:tab w:val="left" w:pos="4248" w:leader="none"/>
        <w:tab w:val="left" w:pos="4956" w:leader="none"/>
        <w:tab w:val="left" w:pos="5664" w:leader="none"/>
        <w:tab w:val="left" w:pos="6265" w:leader="none"/>
        <w:tab w:val="right" w:pos="10348" w:leader="none"/>
      </w:tabs>
      <w:spacing w:lineRule="auto" w:line="240" w:before="0" w:after="0"/>
      <w:ind w:start="1701" w:end="142"/>
    </w:pPr>
    <w:rPr>
      <w:rFonts w:ascii="Titillium" w:hAnsi="Titillium" w:cs="Titillium Web"/>
      <w:sz w:val="20"/>
      <w:szCs w:val="20"/>
    </w:rPr>
  </w:style>
  <w:style w:type="paragraph" w:styleId="NormalWeb">
    <w:name w:val="Normal (Web)"/>
    <w:basedOn w:val="Normal"/>
    <w:uiPriority w:val="99"/>
    <w:unhideWhenUsed/>
    <w:qFormat/>
    <w:rsid w:val="0015463b"/>
    <w:pPr>
      <w:spacing w:lineRule="auto" w:line="240" w:beforeAutospacing="1" w:afterAutospacing="1"/>
    </w:pPr>
    <w:rPr>
      <w:rFonts w:ascii="Times New Roman" w:hAnsi="Times New Roman" w:eastAsia="Times New Roman" w:cs="Times New Roman"/>
      <w:sz w:val="24"/>
      <w:szCs w:val="24"/>
      <w:lang w:eastAsia="it-IT"/>
    </w:rPr>
  </w:style>
  <w:style w:type="paragraph" w:styleId="Revision">
    <w:name w:val="Revision"/>
    <w:uiPriority w:val="99"/>
    <w:semiHidden/>
    <w:qFormat/>
    <w:rsid w:val="00a20c7d"/>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mmentText">
    <w:name w:val="annotation text"/>
    <w:basedOn w:val="Normal"/>
    <w:link w:val="TestocommentoCarattere"/>
    <w:uiPriority w:val="99"/>
    <w:unhideWhenUsed/>
    <w:rsid w:val="00a93037"/>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3037"/>
    <w:pPr/>
    <w:rPr>
      <w:b/>
      <w:bC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1c60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d33823"/>
    <w:pPr>
      <w:spacing w:after="0" w:line="240" w:lineRule="auto"/>
    </w:pPr>
    <w:rPr>
      <w:rFonts w:eastAsiaTheme="minorEastAsia"/>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Application>LibreOffice/25.8.6.2$Windows_X86_64 LibreOffice_project/b4b39682cd9868fa725bc664aff94278d315bd04</Application>
  <AppVersion>15.0000</AppVersion>
  <Pages>3</Pages>
  <Words>1389</Words>
  <Characters>8081</Characters>
  <CharactersWithSpaces>9449</CharactersWithSpaces>
  <Paragraphs>39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2023-10-10T09:41:00Z</dcterms:created>
  <dc:creator>Berrocal Brigita Lily</dc:creator>
  <dc:description/>
  <dc:language>it-IT</dc:language>
  <cp:lastModifiedBy/>
  <cp:lastPrinted>2023-10-19T13:09:00Z</cp:lastPrinted>
  <dcterms:modified xsi:type="dcterms:W3CDTF">2026-06-16T17:50:07Z</dcterms:modified>
  <cp:revision>86</cp:revision>
  <dc:subject/>
  <dc:title>Personale dipendente dichiarazioni sui conflitti d’interessi</dc:title>
</cp:coreProperties>
</file>

<file path=docProps/custom.xml><?xml version="1.0" encoding="utf-8"?>
<Properties xmlns="http://schemas.openxmlformats.org/officeDocument/2006/custom-properties" xmlns:vt="http://schemas.openxmlformats.org/officeDocument/2006/docPropsVTypes"/>
</file>