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pPr>
      <w:r>
        <w:rPr>
          <w:rFonts w:eastAsia="" w:cs="" w:ascii="Cambria" w:hAnsi="Cambria" w:asciiTheme="majorHAnsi" w:cstheme="majorBidi" w:eastAsiaTheme="majorEastAsia" w:hAnsiTheme="majorHAnsi"/>
          <w:sz w:val="32"/>
          <w:szCs w:val="32"/>
        </w:rPr>
        <w:t xml:space="preserve">ENTI DI DIRITTO PRIVATO IN CONTROLLO PUBBLICO </w:t>
      </w:r>
      <w:r>
        <w:rPr>
          <w:rStyle w:val="FootnoteReference"/>
          <w:sz w:val="20"/>
        </w:rPr>
        <w:footnoteReference w:id="2"/>
      </w:r>
    </w:p>
    <w:p>
      <w:pPr>
        <w:pStyle w:val="Normal"/>
        <w:spacing w:lineRule="auto" w:line="360"/>
        <w:jc w:val="both"/>
        <w:rPr>
          <w:rFonts w:ascii="Garamond" w:hAnsi="Garamond" w:cs="Times New Roman"/>
          <w:sz w:val="24"/>
          <w:szCs w:val="24"/>
        </w:rPr>
      </w:pPr>
      <w:r>
        <w:rPr>
          <w:rFonts w:cs="Times New Roman" w:ascii="Garamond" w:hAnsi="Garamond"/>
          <w:sz w:val="24"/>
          <w:szCs w:val="24"/>
        </w:rPr>
      </w:r>
    </w:p>
    <w:p>
      <w:pPr>
        <w:pStyle w:val="Normal"/>
        <w:jc w:val="both"/>
        <w:rPr>
          <w:rFonts w:ascii="Titillium" w:hAnsi="Titillium" w:cs="Titillium Web"/>
          <w:sz w:val="20"/>
          <w:szCs w:val="20"/>
        </w:rPr>
      </w:pPr>
      <w:r>
        <w:rPr>
          <w:rFonts w:cs="Titillium Web" w:ascii="Titillium" w:hAnsi="Titillium"/>
          <w:sz w:val="20"/>
          <w:szCs w:val="20"/>
        </w:rPr>
        <w:t>Il/La sottoscritto/a ______________________________ con riferimento all’incarico di _______________________________________ in corso di conferimento presso ______________________________________________________,</w:t>
      </w:r>
      <w:r>
        <w:rPr>
          <w:sz w:val="20"/>
        </w:rPr>
        <w:t xml:space="preserve"> </w:t>
      </w:r>
      <w:r>
        <w:rPr>
          <w:rFonts w:cs="Titillium Web" w:ascii="Titillium" w:hAnsi="Titillium"/>
          <w:sz w:val="20"/>
          <w:szCs w:val="20"/>
        </w:rPr>
        <w:t xml:space="preserve">ai sensi delle disposizioni di cui agli articoli 46 e 47 del D.P.R. 28 dicembre 2000, n. 445 “Testo unico delle disposizioni legislative e regolamentari in materia di documentazione amministrativa”, nonché 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pPr>
        <w:pStyle w:val="Normal"/>
        <w:spacing w:lineRule="auto" w:line="360"/>
        <w:jc w:val="center"/>
        <w:rPr>
          <w:rFonts w:ascii="Titillium" w:hAnsi="Titillium" w:cs="Titillium Web"/>
          <w:sz w:val="20"/>
          <w:szCs w:val="20"/>
        </w:rPr>
      </w:pPr>
      <w:r>
        <w:rPr>
          <w:rFonts w:cs="Titillium Web" w:ascii="Titillium" w:hAnsi="Titillium"/>
          <w:b/>
          <w:bCs/>
          <w:sz w:val="20"/>
          <w:szCs w:val="20"/>
        </w:rPr>
        <w:t>DICHIARA</w:t>
      </w:r>
      <w:r>
        <w:rPr>
          <w:rStyle w:val="FootnoteReference"/>
          <w:sz w:val="20"/>
        </w:rPr>
        <w:footnoteReference w:id="3"/>
      </w:r>
    </w:p>
    <w:p>
      <w:pPr>
        <w:pStyle w:val="Normal"/>
        <w:tabs>
          <w:tab w:val="clear" w:pos="708"/>
          <w:tab w:val="left" w:pos="142" w:leader="none"/>
        </w:tabs>
        <w:spacing w:lineRule="auto" w:line="360"/>
        <w:jc w:val="both"/>
        <w:rPr>
          <w:rFonts w:ascii="Titillium" w:hAnsi="Titillium" w:cs="Titillium Web"/>
          <w:sz w:val="20"/>
          <w:szCs w:val="20"/>
        </w:rPr>
      </w:pPr>
      <w:r>
        <w:rPr>
          <w:rFonts w:cs="Titillium Web" w:ascii="Titillium" w:hAnsi="Titillium"/>
          <w:sz w:val="20"/>
          <w:szCs w:val="20"/>
        </w:rPr>
        <w:t xml:space="preserve">con riferimento alle situazioni di </w:t>
      </w:r>
      <w:r>
        <w:rPr>
          <w:rFonts w:cs="Titillium Web" w:ascii="Titillium" w:hAnsi="Titillium"/>
          <w:b/>
          <w:sz w:val="20"/>
          <w:szCs w:val="20"/>
        </w:rPr>
        <w:t xml:space="preserve">INCONFERIBILITA’ </w:t>
      </w:r>
      <w:r>
        <w:rPr>
          <w:rFonts w:cs="Titillium Web" w:ascii="Titillium" w:hAnsi="Titillium"/>
          <w:sz w:val="20"/>
          <w:szCs w:val="20"/>
        </w:rPr>
        <w:t>disciplinate dal d.lgs. n. 39/2013:</w:t>
      </w:r>
    </w:p>
    <w:p>
      <w:pPr>
        <w:pStyle w:val="ListParagraph"/>
        <w:tabs>
          <w:tab w:val="clear" w:pos="708"/>
          <w:tab w:val="left" w:pos="993" w:leader="none"/>
        </w:tabs>
        <w:spacing w:before="0" w:after="200"/>
        <w:ind w:start="709"/>
        <w:contextualSpacing w:val="false"/>
        <w:jc w:val="both"/>
        <w:rPr>
          <w:rFonts w:ascii="Titillium" w:hAnsi="Titillium"/>
          <w:b/>
          <w:bCs/>
          <w:sz w:val="20"/>
        </w:rPr>
      </w:pPr>
      <w:r>
        <w:rPr>
          <w:rFonts w:ascii="Titillium" w:hAnsi="Titillium"/>
          <w:b/>
          <w:bCs/>
          <w:sz w:val="20"/>
        </w:rPr>
        <w:t>(Inconferibilità in caso di condanna per reati contro la pubblica amministrazione)</w:t>
      </w:r>
    </w:p>
    <w:p>
      <w:pPr>
        <w:pStyle w:val="ListParagraph"/>
        <w:tabs>
          <w:tab w:val="clear" w:pos="708"/>
          <w:tab w:val="left" w:pos="993" w:leader="none"/>
        </w:tabs>
        <w:spacing w:before="0" w:after="200"/>
        <w:ind w:start="709"/>
        <w:contextualSpacing w:val="false"/>
        <w:jc w:val="both"/>
        <w:rPr>
          <w:rFonts w:ascii="Titillium" w:hAnsi="Titillium"/>
          <w:sz w:val="20"/>
        </w:rPr>
      </w:pPr>
      <w:bookmarkStart w:id="0" w:name="_Hlk178258087"/>
      <w:r>
        <mc:AlternateContent>
          <mc:Choice Requires="wps">
            <w:drawing>
              <wp:anchor distT="0" distB="12700" distL="0" distR="22225" simplePos="0" relativeHeight="2" behindDoc="0" locked="0" layoutInCell="1" allowOverlap="1" wp14:anchorId="2ACC8999">
                <wp:simplePos x="0" y="0"/>
                <wp:positionH relativeFrom="column">
                  <wp:posOffset>266700</wp:posOffset>
                </wp:positionH>
                <wp:positionV relativeFrom="paragraph">
                  <wp:posOffset>82550</wp:posOffset>
                </wp:positionV>
                <wp:extent cx="92075" cy="101600"/>
                <wp:effectExtent l="13335" t="12700" r="12065" b="12700"/>
                <wp:wrapNone/>
                <wp:docPr id="1" name="Rettangolo 1575033770"/>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1pt;margin-top:6.5pt;width:7.2pt;height:7.95pt;mso-wrap-style:none;v-text-anchor:middle" wp14:anchorId="2ACC8999">
                <v:fill o:detectmouseclick="t" type="solid" color2="black"/>
                <v:stroke color="#3a5f8b" weight="25560" joinstyle="round" endcap="flat"/>
                <w10:wrap type="none"/>
              </v:rect>
            </w:pict>
          </mc:Fallback>
        </mc:AlternateContent>
      </w:r>
      <w:r>
        <w:rPr>
          <w:rFonts w:ascii="Titillium" w:hAnsi="Titillium"/>
          <w:sz w:val="20"/>
        </w:rPr>
        <w:t xml:space="preserve">di non trovarsi nella situazione di inconferibilità di cui </w:t>
      </w:r>
      <w:bookmarkEnd w:id="0"/>
      <w:r>
        <w:rPr>
          <w:rFonts w:ascii="Titillium" w:hAnsi="Titillium"/>
          <w:sz w:val="20"/>
        </w:rPr>
        <w:t>all’art</w:t>
      </w:r>
      <w:r>
        <w:rPr>
          <w:rFonts w:ascii="Titillium" w:hAnsi="Titillium"/>
          <w:sz w:val="20"/>
          <w:lang w:eastAsia="it-IT"/>
        </w:rPr>
        <w:t>. 3, comma 1, lett. a), c) e d)</w:t>
      </w:r>
      <w:r>
        <w:rPr>
          <w:rStyle w:val="Caratterinotaapidipagina"/>
          <w:rFonts w:ascii="Titillium" w:hAnsi="Titillium"/>
          <w:sz w:val="20"/>
        </w:rPr>
        <w:t xml:space="preserve"> </w:t>
      </w:r>
      <w:r>
        <w:rPr>
          <w:rStyle w:val="FootnoteReference"/>
          <w:rFonts w:ascii="Titillium" w:hAnsi="Titillium"/>
          <w:sz w:val="20"/>
        </w:rPr>
        <w:footnoteReference w:id="4"/>
      </w:r>
      <w:r>
        <w:rPr>
          <w:rFonts w:ascii="Titillium" w:hAnsi="Titillium"/>
          <w:sz w:val="20"/>
          <w:lang w:eastAsia="it-IT"/>
        </w:rPr>
        <w:t xml:space="preserve">, del </w:t>
      </w:r>
      <w:r>
        <w:rPr>
          <w:rFonts w:ascii="Titillium" w:hAnsi="Titillium"/>
          <w:sz w:val="20"/>
        </w:rPr>
        <w:t xml:space="preserve">d.lgs. n. 39/2013 rispetto agli incarichi amministrativi di vertice, di amministratore e dirigenziali nell’ente di diritto privato in controllo pubblico; </w:t>
      </w:r>
    </w:p>
    <w:p>
      <w:pPr>
        <w:pStyle w:val="Normal"/>
        <w:tabs>
          <w:tab w:val="clear" w:pos="708"/>
          <w:tab w:val="left" w:pos="0" w:leader="none"/>
          <w:tab w:val="left" w:pos="142" w:leader="none"/>
        </w:tabs>
        <w:spacing w:lineRule="auto" w:line="360"/>
        <w:jc w:val="center"/>
        <w:rPr>
          <w:rFonts w:ascii="Titillium" w:hAnsi="Titillium" w:cs="Titillium Web"/>
          <w:b/>
          <w:sz w:val="20"/>
          <w:szCs w:val="20"/>
        </w:rPr>
      </w:pPr>
      <w:bookmarkStart w:id="1" w:name="_Hlk210815306"/>
      <w:r>
        <w:rPr>
          <w:rFonts w:cs="Titillium Web" w:ascii="Titillium" w:hAnsi="Titillium"/>
          <w:b/>
          <w:sz w:val="20"/>
          <w:szCs w:val="20"/>
        </w:rPr>
        <w:t>DICHIARA ALTRESI’</w:t>
      </w:r>
      <w:bookmarkEnd w:id="1"/>
    </w:p>
    <w:p>
      <w:pPr>
        <w:pStyle w:val="ListParagraph"/>
        <w:tabs>
          <w:tab w:val="clear" w:pos="708"/>
          <w:tab w:val="left" w:pos="993" w:leader="none"/>
        </w:tabs>
        <w:spacing w:before="0" w:after="200"/>
        <w:ind w:start="0"/>
        <w:contextualSpacing w:val="false"/>
        <w:jc w:val="both"/>
        <w:rPr/>
      </w:pPr>
      <w:r>
        <w:rPr>
          <w:rFonts w:ascii="Titillium" w:hAnsi="Titillium"/>
          <w:sz w:val="20"/>
          <w:szCs w:val="20"/>
        </w:rPr>
        <w:t xml:space="preserve">di essere informato che, ai sensi di quanto disposto dall’art. 20, comma 3, del D.lgs. n. 39/2013, la presente dichiarazione verrà pubblicata sul sito istituzionale dell’ente, nell’apposita sezione “Amministrazione Trasparente” </w:t>
      </w:r>
      <w:r>
        <w:rPr>
          <w:rStyle w:val="FootnoteReference"/>
          <w:rFonts w:ascii="Titillium" w:hAnsi="Titillium"/>
          <w:sz w:val="20"/>
        </w:rPr>
        <w:footnoteReference w:id="5"/>
      </w:r>
      <w:r>
        <w:rPr/>
        <w:t xml:space="preserve">. </w:t>
      </w:r>
    </w:p>
    <w:p>
      <w:pPr>
        <w:pStyle w:val="Normal"/>
        <w:jc w:val="both"/>
        <w:rPr>
          <w:rFonts w:ascii="Titillium" w:hAnsi="Titillium"/>
          <w:sz w:val="20"/>
          <w:szCs w:val="20"/>
        </w:rPr>
      </w:pPr>
      <w:bookmarkStart w:id="2" w:name="_Hlk200102237"/>
      <w:r>
        <w:rPr>
          <w:rFonts w:ascii="Titillium" w:hAnsi="Titillium"/>
          <w:sz w:val="20"/>
          <w:szCs w:val="20"/>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bookmarkEnd w:id="2"/>
    </w:p>
    <w:p>
      <w:pPr>
        <w:pStyle w:val="Normal"/>
        <w:spacing w:lineRule="auto" w:line="360"/>
        <w:jc w:val="both"/>
        <w:rPr>
          <w:rFonts w:ascii="Titillium" w:hAnsi="Titillium" w:cs="Titillium Web"/>
          <w:sz w:val="20"/>
          <w:szCs w:val="20"/>
        </w:rPr>
      </w:pPr>
      <w:r>
        <w:rPr>
          <w:rFonts w:cs="Titillium Web" w:ascii="Titillium" w:hAnsi="Titillium"/>
          <w:sz w:val="20"/>
          <w:szCs w:val="20"/>
        </w:rPr>
        <w:t>Luogo, data</w:t>
      </w:r>
    </w:p>
    <w:p>
      <w:pPr>
        <w:pStyle w:val="Normal"/>
        <w:spacing w:lineRule="auto" w:line="360" w:before="0" w:after="200"/>
        <w:ind w:firstLine="7371"/>
        <w:jc w:val="both"/>
        <w:rPr>
          <w:rFonts w:ascii="Titillium" w:hAnsi="Titillium" w:cs="Titillium Web"/>
          <w:sz w:val="20"/>
          <w:szCs w:val="20"/>
        </w:rPr>
      </w:pPr>
      <w:r>
        <w:rPr>
          <w:rFonts w:cs="Titillium Web" w:ascii="Titillium" w:hAnsi="Titillium"/>
          <w:sz w:val="20"/>
          <w:szCs w:val="20"/>
        </w:rPr>
        <w:t>Firma</w:t>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ahoma">
    <w:charset w:val="01"/>
    <w:family w:val="swiss"/>
    <w:pitch w:val="default"/>
  </w:font>
  <w:font w:name="Times New Roman">
    <w:charset w:val="01"/>
    <w:family w:val="roman"/>
    <w:pitch w:val="default"/>
  </w:font>
  <w:font w:name="Titillium">
    <w:charset w:val="01"/>
    <w:family w:val="swiss"/>
    <w:pitch w:val="default"/>
  </w:font>
  <w:font w:name="DejaVu Sans">
    <w:charset w:val="01"/>
    <w:family w:val="swiss"/>
    <w:pitch w:val="default"/>
  </w:font>
  <w:font w:name="Cambria">
    <w:charset w:val="01"/>
    <w:family w:val="swiss"/>
    <w:pitch w:val="default"/>
  </w:font>
  <w:font w:name="Garamon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start="284" w:end="142"/>
        <w:jc w:val="both"/>
        <w:rPr>
          <w:i/>
          <w:sz w:val="16"/>
          <w:szCs w:val="16"/>
        </w:rPr>
      </w:pPr>
      <w:r>
        <w:rPr>
          <w:rStyle w:val="Caratterinotaapidipagina"/>
        </w:rPr>
        <w:footnoteRef/>
      </w:r>
      <w:r>
        <w:rPr/>
        <w:t xml:space="preserve"> </w:t>
      </w:r>
      <w:r>
        <w:rPr>
          <w:b/>
          <w:sz w:val="16"/>
        </w:rPr>
        <w:t>Art. 1, comma 2,</w:t>
      </w:r>
      <w:r>
        <w:rPr>
          <w:sz w:val="16"/>
        </w:rPr>
        <w:t xml:space="preserve"> </w:t>
      </w:r>
      <w:r>
        <w:rPr>
          <w:b/>
          <w:bCs/>
          <w:sz w:val="16"/>
        </w:rPr>
        <w:t>lett. c):</w:t>
      </w:r>
      <w:r>
        <w:rPr>
          <w:sz w:val="16"/>
        </w:rPr>
        <w:t xml:space="preserve"> “</w:t>
      </w:r>
      <w:r>
        <w:rPr>
          <w:i/>
          <w:sz w:val="16"/>
        </w:rPr>
        <w:t>Ai fini del presente decreto si intende</w:t>
      </w:r>
      <w:r>
        <w:rPr>
          <w:sz w:val="16"/>
        </w:rPr>
        <w:t>: (...) c) “</w:t>
      </w:r>
      <w:r>
        <w:rPr>
          <w:i/>
          <w:sz w:val="16"/>
        </w:rPr>
        <w:t xml:space="preserve">per </w:t>
      </w:r>
      <w:r>
        <w:rPr>
          <w:i/>
          <w:sz w:val="14"/>
          <w:szCs w:val="14"/>
        </w:rPr>
        <w:t>&lt;&lt;</w:t>
      </w:r>
      <w:r>
        <w:rPr>
          <w:b/>
          <w:i/>
          <w:sz w:val="16"/>
        </w:rPr>
        <w:t>enti di diritto privato in controllo pubblico</w:t>
      </w:r>
      <w:r>
        <w:rPr>
          <w:sz w:val="14"/>
          <w:szCs w:val="14"/>
        </w:rPr>
        <w:t>&gt;&gt;</w:t>
      </w:r>
      <w:r>
        <w:rPr/>
        <w:t xml:space="preserve">, </w:t>
      </w:r>
      <w:r>
        <w:rPr>
          <w:i/>
          <w:sz w:val="16"/>
          <w:szCs w:val="16"/>
        </w:rPr>
        <w:t>le società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p>
    <w:p>
      <w:pPr>
        <w:pStyle w:val="FootnoteText"/>
        <w:ind w:start="284" w:end="142"/>
        <w:jc w:val="both"/>
        <w:rPr>
          <w:i/>
          <w:sz w:val="16"/>
          <w:szCs w:val="16"/>
        </w:rPr>
      </w:pPr>
      <w:r>
        <w:rPr>
          <w:i/>
          <w:sz w:val="16"/>
          <w:szCs w:val="16"/>
        </w:rPr>
      </w:r>
    </w:p>
    <w:p>
      <w:pPr>
        <w:pStyle w:val="FootnoteText"/>
        <w:ind w:start="284" w:end="142"/>
        <w:jc w:val="both"/>
        <w:rPr>
          <w:i/>
          <w:sz w:val="16"/>
        </w:rPr>
      </w:pPr>
      <w:r>
        <w:rPr>
          <w:rStyle w:val="Caratterinotaapidipagina"/>
        </w:rPr>
        <w:t>2</w:t>
      </w:r>
      <w:r>
        <w:rPr/>
        <w:t xml:space="preserve"> </w:t>
      </w:r>
      <w:r>
        <w:rPr>
          <w:b/>
          <w:sz w:val="16"/>
        </w:rPr>
        <w:t xml:space="preserve">Art. 20, commi 1 e 4: </w:t>
      </w:r>
      <w:r>
        <w:rPr>
          <w:sz w:val="16"/>
        </w:rPr>
        <w:t>“</w:t>
      </w:r>
      <w:r>
        <w:rPr>
          <w:i/>
          <w:sz w:val="16"/>
        </w:rPr>
        <w:t>All’atto del conferimento dell’incarico l’interessato presenta una dichiarazione sulla insussistenza di una delle cause di inconferibilità di cui al presente decreto. (...) La dichiarazione di cui al comma 1 è condizione per l’acquisizione dell’efficacia dell’incarico.”;</w:t>
      </w:r>
    </w:p>
  </w:footnote>
  <w:footnote w:id="3">
    <w:p>
      <w:pPr>
        <w:pStyle w:val="FootnoteText"/>
        <w:ind w:start="644" w:end="142"/>
        <w:jc w:val="both"/>
        <w:rPr>
          <w:i/>
          <w:sz w:val="16"/>
        </w:rPr>
      </w:pPr>
      <w:r>
        <w:rPr>
          <w:rStyle w:val="Caratterinotaapidipagina"/>
        </w:rPr>
        <w:footnoteRef/>
      </w:r>
      <w:r>
        <w:rPr/>
      </w:r>
    </w:p>
  </w:footnote>
  <w:footnote w:id="4">
    <w:p>
      <w:pPr>
        <w:pStyle w:val="FootnoteText"/>
        <w:ind w:start="284" w:end="142"/>
        <w:jc w:val="both"/>
        <w:rPr>
          <w:i/>
          <w:sz w:val="16"/>
        </w:rPr>
      </w:pPr>
      <w:r>
        <w:rPr>
          <w:rStyle w:val="Caratterinotaapidipagina"/>
        </w:rPr>
        <w:footnoteRef/>
      </w:r>
      <w:r>
        <w:rPr/>
        <w:t xml:space="preserve"> </w:t>
      </w:r>
      <w:r>
        <w:rPr>
          <w:b/>
          <w:sz w:val="16"/>
        </w:rPr>
        <w:t xml:space="preserve">Art. 3, comma 2, lett. a), c) e d): </w:t>
      </w:r>
      <w:r>
        <w:rPr>
          <w:sz w:val="16"/>
        </w:rPr>
        <w:t>“</w:t>
      </w:r>
      <w:r>
        <w:rPr>
          <w:i/>
          <w:sz w:val="16"/>
        </w:rPr>
        <w:t>A coloro che siano stati condannati, anche con sentenza non passata in giudicato, per uno dei reati previsti dal capo I del titolo II del libro secondo del codice penale, non possono essere attribuiti: a)</w:t>
      </w:r>
      <w:r>
        <w:rPr>
          <w:rFonts w:cs="Calibri" w:ascii="Calibri" w:hAnsi="Calibri"/>
          <w:color w:val="000000"/>
          <w:sz w:val="22"/>
          <w:szCs w:val="22"/>
          <w:shd w:fill="F5FDFE" w:val="clear"/>
        </w:rPr>
        <w:t xml:space="preserve"> </w:t>
      </w:r>
      <w:r>
        <w:rPr>
          <w:i/>
          <w:sz w:val="16"/>
        </w:rPr>
        <w:t xml:space="preserve">gli incarichi amministrativi di vertice nelle amministrazioni statali, regionali e locali nonché negli </w:t>
      </w:r>
      <w:r>
        <w:rPr>
          <w:b/>
          <w:bCs/>
          <w:i/>
          <w:sz w:val="16"/>
        </w:rPr>
        <w:t>enti di diritto privato in controllo pubblico</w:t>
      </w:r>
      <w:r>
        <w:rPr>
          <w:i/>
          <w:sz w:val="16"/>
        </w:rPr>
        <w:t xml:space="preserve">; (...) c) gli incarichi dirigenziali, interni e esterni, comunque denominati, nelle pubbliche amministrazioni, negli enti pubblici e negli </w:t>
      </w:r>
      <w:r>
        <w:rPr>
          <w:b/>
          <w:i/>
          <w:sz w:val="16"/>
        </w:rPr>
        <w:t>enti di diritto privato in controllo pubblico</w:t>
      </w:r>
      <w:r>
        <w:rPr>
          <w:i/>
          <w:sz w:val="16"/>
        </w:rPr>
        <w:t xml:space="preserve"> </w:t>
      </w:r>
      <w:r>
        <w:rPr>
          <w:b/>
          <w:i/>
          <w:sz w:val="16"/>
        </w:rPr>
        <w:t>di livello nazionale, regionale e locale;</w:t>
      </w:r>
      <w:r>
        <w:rPr>
          <w:i/>
          <w:sz w:val="16"/>
        </w:rPr>
        <w:t xml:space="preserve"> d) gli incarichi di amministratore di </w:t>
      </w:r>
      <w:r>
        <w:rPr>
          <w:b/>
          <w:i/>
          <w:sz w:val="16"/>
        </w:rPr>
        <w:t>ente di diritto privato in controllo pubblico di livello nazionale, regionale e locale</w:t>
      </w:r>
      <w:r>
        <w:rPr>
          <w:i/>
          <w:sz w:val="16"/>
        </w:rPr>
        <w:t>”.</w:t>
      </w:r>
    </w:p>
    <w:p>
      <w:pPr>
        <w:pStyle w:val="FootnoteText"/>
        <w:ind w:start="284" w:end="142"/>
        <w:jc w:val="both"/>
        <w:rPr>
          <w:iCs/>
          <w:sz w:val="16"/>
        </w:rPr>
      </w:pPr>
      <w:r>
        <w:rPr>
          <w:b/>
          <w:bCs/>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p>
      <w:pPr>
        <w:pStyle w:val="FootnoteText"/>
        <w:ind w:start="284" w:end="142"/>
        <w:jc w:val="both"/>
        <w:rPr>
          <w:i/>
          <w:sz w:val="16"/>
        </w:rPr>
      </w:pPr>
      <w:r>
        <w:rPr>
          <w:i/>
          <w:sz w:val="16"/>
        </w:rPr>
      </w:r>
    </w:p>
    <w:p>
      <w:pPr>
        <w:pStyle w:val="FootnoteText"/>
        <w:ind w:start="644" w:end="142"/>
        <w:jc w:val="both"/>
        <w:rPr>
          <w:i/>
          <w:sz w:val="16"/>
        </w:rPr>
      </w:pPr>
      <w:r>
        <w:rPr/>
      </w:r>
    </w:p>
  </w:footnote>
  <w:footnote w:id="5">
    <w:p>
      <w:pPr>
        <w:pStyle w:val="FootnoteText"/>
        <w:ind w:start="284" w:end="142"/>
        <w:rPr/>
      </w:pPr>
      <w:r>
        <w:rPr>
          <w:rStyle w:val="Caratterinotaapidipagina"/>
        </w:rPr>
        <w:footnoteRef/>
      </w:r>
      <w:r>
        <w:rPr/>
        <w:t xml:space="preserve"> </w:t>
      </w:r>
      <w:bookmarkStart w:id="3" w:name="Copia__Hlk210813766_1"/>
      <w:bookmarkStart w:id="4" w:name="Copia__Hlk210815328_1"/>
      <w:r>
        <w:rPr>
          <w:bCs/>
          <w:sz w:val="16"/>
        </w:rPr>
        <w:t xml:space="preserve">Ai sensi </w:t>
      </w:r>
      <w:r>
        <w:rPr>
          <w:b/>
          <w:sz w:val="16"/>
        </w:rPr>
        <w:t>dell’art. 14, co, 2, del d.lgs. n. 33/2013</w:t>
      </w:r>
      <w:r>
        <w:rPr>
          <w:sz w:val="16"/>
        </w:rPr>
        <w:t>, le pubbliche amministrazioni pubblicano i dati per i tre anni successivi dalla cessazione         del mandato o dell'incarico dei soggetti</w:t>
      </w:r>
      <w:bookmarkEnd w:id="3"/>
      <w:r>
        <w:rPr>
          <w:sz w:val="16"/>
        </w:rPr>
        <w:t>.</w:t>
      </w:r>
      <w:bookmarkEnd w:id="4"/>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firstRow="1" w:noVBand="1" w:lastRow="0" w:firstColumn="1" w:lastColumn="0" w:noHBand="0" w:val="04a0"/>
    </w:tblPr>
    <w:tblGrid>
      <w:gridCol w:w="8562"/>
      <w:gridCol w:w="1076"/>
    </w:tblGrid>
    <w:tr>
      <w:trPr>
        <w:trHeight w:val="288" w:hRule="atLeast"/>
      </w:trPr>
      <w:tc>
        <w:tcPr>
          <w:tcW w:w="8562" w:type="dxa"/>
          <w:tcBorders>
            <w:bottom w:val="single" w:sz="18" w:space="0" w:color="808080"/>
            <w:end w:val="single" w:sz="18" w:space="0" w:color="808080"/>
          </w:tcBorders>
        </w:tcPr>
        <w:p>
          <w:pPr>
            <w:pStyle w:val="Header"/>
            <w:jc w:val="both"/>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DICHIARAZIONE SULLA INSUSSISTENZA DI CAUSE DI INCONFERIBILITA’ ex art. 20 d.lgs. n. 39/2013</w:t>
          </w:r>
        </w:p>
      </w:tc>
      <w:tc>
        <w:tcPr>
          <w:tcW w:w="1076" w:type="dxa"/>
          <w:tcBorders>
            <w:start w:val="single" w:sz="18" w:space="0" w:color="808080"/>
            <w:bottom w:val="single" w:sz="18" w:space="0" w:color="808080"/>
          </w:tcBorders>
        </w:tcPr>
        <w:p>
          <w:pPr>
            <w:pStyle w:val="Header"/>
            <w:rPr>
              <w:rFonts w:ascii="Cambria" w:hAnsi="Cambria" w:eastAsia="" w:cs="" w:asciiTheme="majorHAnsi" w:cstheme="majorBidi" w:eastAsiaTheme="majorEastAsia" w:hAnsiTheme="majorHAnsi"/>
              <w:b/>
              <w:bCs/>
              <w:color w:themeColor="accent1" w:val="4F81BD"/>
              <w:sz w:val="36"/>
              <w:szCs w:val="36"/>
            </w:rPr>
          </w:pPr>
          <w:r>
            <w:rPr>
              <w:rFonts w:eastAsia="" w:cs="" w:cstheme="majorBidi" w:eastAsiaTheme="majorEastAsia" w:ascii="Cambria" w:hAnsi="Cambria"/>
              <w:b/>
              <w:bCs/>
              <w:color w:themeColor="accent1" w:val="4F81BD"/>
              <w:sz w:val="36"/>
              <w:szCs w:val="3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firstRow="1" w:noVBand="1" w:lastRow="0" w:firstColumn="1" w:lastColumn="0" w:noHBand="0" w:val="04a0"/>
    </w:tblPr>
    <w:tblGrid>
      <w:gridCol w:w="8562"/>
      <w:gridCol w:w="1076"/>
    </w:tblGrid>
    <w:tr>
      <w:trPr>
        <w:trHeight w:val="288" w:hRule="atLeast"/>
      </w:trPr>
      <w:tc>
        <w:tcPr>
          <w:tcW w:w="8562" w:type="dxa"/>
          <w:tcBorders>
            <w:bottom w:val="single" w:sz="18" w:space="0" w:color="808080"/>
            <w:end w:val="single" w:sz="18" w:space="0" w:color="808080"/>
          </w:tcBorders>
        </w:tcPr>
        <w:p>
          <w:pPr>
            <w:pStyle w:val="Header"/>
            <w:jc w:val="both"/>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DICHIARAZIONE SULLA INSUSSISTENZA DI CAUSE DI INCONFERIBILITA’ ex art. 20 d.lgs. n. 39/2013</w:t>
          </w:r>
        </w:p>
      </w:tc>
      <w:tc>
        <w:tcPr>
          <w:tcW w:w="1076" w:type="dxa"/>
          <w:tcBorders>
            <w:start w:val="single" w:sz="18" w:space="0" w:color="808080"/>
            <w:bottom w:val="single" w:sz="18" w:space="0" w:color="808080"/>
          </w:tcBorders>
        </w:tcPr>
        <w:p>
          <w:pPr>
            <w:pStyle w:val="Header"/>
            <w:rPr>
              <w:rFonts w:ascii="Cambria" w:hAnsi="Cambria" w:eastAsia="" w:cs="" w:asciiTheme="majorHAnsi" w:cstheme="majorBidi" w:eastAsiaTheme="majorEastAsia" w:hAnsiTheme="majorHAnsi"/>
              <w:b/>
              <w:bCs/>
              <w:color w:themeColor="accent1" w:val="4F81BD"/>
              <w:sz w:val="36"/>
              <w:szCs w:val="36"/>
            </w:rPr>
          </w:pPr>
          <w:r>
            <w:rPr>
              <w:rFonts w:eastAsia="" w:cs="" w:cstheme="majorBidi" w:eastAsiaTheme="majorEastAsia" w:ascii="Cambria" w:hAnsi="Cambria"/>
              <w:b/>
              <w:bCs/>
              <w:color w:themeColor="accent1" w:val="4F81BD"/>
              <w:sz w:val="36"/>
              <w:szCs w:val="36"/>
            </w:rPr>
          </w:r>
        </w:p>
      </w:tc>
    </w:tr>
  </w:tbl>
  <w:p>
    <w:pPr>
      <w:pStyle w:val="Header"/>
      <w:rPr/>
    </w:pPr>
    <w:r>
      <w:rPr/>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033"/>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940544"/>
    <w:rPr>
      <w:rFonts w:ascii="Tahoma" w:hAnsi="Tahoma" w:cs="Tahoma"/>
      <w:sz w:val="16"/>
      <w:szCs w:val="16"/>
    </w:rPr>
  </w:style>
  <w:style w:type="character" w:styleId="IntestazioneCarattere" w:customStyle="1">
    <w:name w:val="Intestazione Carattere"/>
    <w:basedOn w:val="DefaultParagraphFont"/>
    <w:uiPriority w:val="99"/>
    <w:qFormat/>
    <w:rsid w:val="001a58e6"/>
    <w:rPr/>
  </w:style>
  <w:style w:type="character" w:styleId="PidipaginaCarattere" w:customStyle="1">
    <w:name w:val="Piè di pagina Carattere"/>
    <w:basedOn w:val="DefaultParagraphFont"/>
    <w:uiPriority w:val="99"/>
    <w:qFormat/>
    <w:rsid w:val="001a58e6"/>
    <w:rPr/>
  </w:style>
  <w:style w:type="character" w:styleId="CorpotestoCarattere" w:customStyle="1">
    <w:name w:val="Corpo testo Carattere"/>
    <w:basedOn w:val="DefaultParagraphFont"/>
    <w:semiHidden/>
    <w:qFormat/>
    <w:rsid w:val="00c56ea0"/>
    <w:rPr>
      <w:rFonts w:ascii="Times New Roman" w:hAnsi="Times New Roman" w:eastAsia="Times New Roman" w:cs="Times New Roman"/>
      <w:lang w:eastAsia="it-IT"/>
    </w:rPr>
  </w:style>
  <w:style w:type="character" w:styleId="TestonotaapidipaginaCarattere" w:customStyle="1">
    <w:name w:val="Testo nota a piè di pagina Carattere"/>
    <w:basedOn w:val="DefaultParagraphFont"/>
    <w:uiPriority w:val="99"/>
    <w:qFormat/>
    <w:rsid w:val="0015463b"/>
    <w:rPr>
      <w:rFonts w:ascii="Titillium" w:hAnsi="Titillium" w:cs="Titillium Web"/>
      <w:sz w:val="20"/>
      <w:szCs w:val="20"/>
    </w:rPr>
  </w:style>
  <w:style w:type="character" w:styleId="Caratterinotaapidipagina">
    <w:name w:val="Caratteri nota a piè di pagina"/>
    <w:basedOn w:val="DefaultParagraphFont"/>
    <w:uiPriority w:val="99"/>
    <w:semiHidden/>
    <w:unhideWhenUsed/>
    <w:qFormat/>
    <w:rsid w:val="0015463b"/>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DejaVu Sans" w:hAnsi="DejaVu Sans" w:eastAsia="Microsoft YaHei" w:cs="Arial Unicode MS"/>
      <w:sz w:val="28"/>
      <w:szCs w:val="28"/>
    </w:rPr>
  </w:style>
  <w:style w:type="paragraph" w:styleId="BodyText">
    <w:name w:val="Body Text"/>
    <w:basedOn w:val="Normal"/>
    <w:link w:val="CorpotestoCarattere"/>
    <w:semiHidden/>
    <w:rsid w:val="00c56ea0"/>
    <w:pPr>
      <w:spacing w:lineRule="auto" w:line="240" w:before="0" w:after="0"/>
      <w:jc w:val="both"/>
    </w:pPr>
    <w:rPr>
      <w:rFonts w:ascii="Times New Roman" w:hAnsi="Times New Roman" w:eastAsia="Times New Roman" w:cs="Times New Roman"/>
      <w:lang w:eastAsia="it-IT"/>
    </w:rPr>
  </w:style>
  <w:style w:type="paragraph" w:styleId="List">
    <w:name w:val="List"/>
    <w:basedOn w:val="BodyText"/>
    <w:pPr/>
    <w:rPr>
      <w:rFonts w:ascii="DejaVu Sans" w:hAnsi="DejaVu Sans" w:cs="Arial Unicode MS"/>
    </w:rPr>
  </w:style>
  <w:style w:type="paragraph" w:styleId="Caption">
    <w:name w:val="caption"/>
    <w:basedOn w:val="Normal"/>
    <w:qFormat/>
    <w:pPr>
      <w:suppressLineNumbers/>
      <w:spacing w:before="120" w:after="120"/>
    </w:pPr>
    <w:rPr>
      <w:rFonts w:ascii="DejaVu Sans" w:hAnsi="DejaVu Sans" w:cs="Arial Unicode MS"/>
      <w:i/>
      <w:iCs/>
      <w:sz w:val="22"/>
      <w:szCs w:val="24"/>
    </w:rPr>
  </w:style>
  <w:style w:type="paragraph" w:styleId="Indice">
    <w:name w:val="Indice"/>
    <w:basedOn w:val="Normal"/>
    <w:qFormat/>
    <w:pPr>
      <w:suppressLineNumbers/>
    </w:pPr>
    <w:rPr>
      <w:rFonts w:ascii="DejaVu Sans" w:hAnsi="DejaVu Sans" w:cs="Arial Unicode MS"/>
    </w:rPr>
  </w:style>
  <w:style w:type="paragraph" w:styleId="ListParagraph">
    <w:name w:val="List Paragraph"/>
    <w:basedOn w:val="Normal"/>
    <w:uiPriority w:val="34"/>
    <w:qFormat/>
    <w:rsid w:val="001c6033"/>
    <w:pPr>
      <w:spacing w:before="0" w:after="200"/>
      <w:ind w:start="720"/>
      <w:contextualSpacing/>
    </w:pPr>
    <w:rPr/>
  </w:style>
  <w:style w:type="paragraph" w:styleId="BalloonText">
    <w:name w:val="Balloon Text"/>
    <w:basedOn w:val="Normal"/>
    <w:link w:val="TestofumettoCarattere"/>
    <w:uiPriority w:val="99"/>
    <w:semiHidden/>
    <w:unhideWhenUsed/>
    <w:qFormat/>
    <w:rsid w:val="00940544"/>
    <w:pPr>
      <w:spacing w:lineRule="auto" w:line="240" w:before="0" w:after="0"/>
    </w:pPr>
    <w:rPr>
      <w:rFonts w:ascii="Tahoma" w:hAnsi="Tahoma" w:cs="Tahoma"/>
      <w:sz w:val="16"/>
      <w:szCs w:val="16"/>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1a58e6"/>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a58e6"/>
    <w:pPr>
      <w:tabs>
        <w:tab w:val="clear" w:pos="708"/>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unhideWhenUsed/>
    <w:rsid w:val="0015463b"/>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auto" w:line="240" w:before="0" w:after="0"/>
      <w:ind w:start="1701" w:end="142"/>
    </w:pPr>
    <w:rPr>
      <w:rFonts w:ascii="Titillium" w:hAnsi="Titillium" w:cs="Titillium Web"/>
      <w:sz w:val="20"/>
      <w:szCs w:val="20"/>
    </w:rPr>
  </w:style>
  <w:style w:type="paragraph" w:styleId="NormalWeb">
    <w:name w:val="Normal (Web)"/>
    <w:basedOn w:val="Normal"/>
    <w:uiPriority w:val="99"/>
    <w:semiHidden/>
    <w:unhideWhenUsed/>
    <w:qFormat/>
    <w:rsid w:val="0015463b"/>
    <w:pPr>
      <w:spacing w:lineRule="auto" w:line="240" w:beforeAutospacing="1" w:afterAutospacing="1"/>
    </w:pPr>
    <w:rPr>
      <w:rFonts w:ascii="Times New Roman" w:hAnsi="Times New Roman" w:eastAsia="Times New Roman" w:cs="Times New Roman"/>
      <w:sz w:val="24"/>
      <w:szCs w:val="24"/>
      <w:lang w:eastAsia="it-IT"/>
    </w:rPr>
  </w:style>
  <w:style w:type="paragraph" w:styleId="Revision">
    <w:name w:val="Revision"/>
    <w:uiPriority w:val="99"/>
    <w:semiHidden/>
    <w:qFormat/>
    <w:rsid w:val="00a20c7d"/>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1c60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d33823"/>
    <w:pPr>
      <w:spacing w:after="0" w:line="240" w:lineRule="auto"/>
    </w:pPr>
    <w:rPr>
      <w:rFonts w:eastAsiaTheme="minorEastAsia"/>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Application>LibreOffice/25.8.6.2$Windows_X86_64 LibreOffice_project/b4b39682cd9868fa725bc664aff94278d315bd04</Application>
  <AppVersion>15.0000</AppVersion>
  <Pages>2</Pages>
  <Words>605</Words>
  <Characters>3594</Characters>
  <CharactersWithSpaces>4196</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2023-10-10T09:41:00Z</dcterms:created>
  <dc:creator>Berrocal Brigita Lily</dc:creator>
  <dc:description/>
  <dc:language>it-IT</dc:language>
  <cp:lastModifiedBy/>
  <cp:lastPrinted>2023-10-19T13:09:00Z</cp:lastPrinted>
  <dcterms:modified xsi:type="dcterms:W3CDTF">2026-06-16T17:50:56Z</dcterms:modified>
  <cp:revision>87</cp:revision>
  <dc:subject/>
  <dc:title>Personale dipendente dichiarazioni sui conflitti d’interessi</dc:title>
</cp:coreProperties>
</file>

<file path=docProps/custom.xml><?xml version="1.0" encoding="utf-8"?>
<Properties xmlns="http://schemas.openxmlformats.org/officeDocument/2006/custom-properties" xmlns:vt="http://schemas.openxmlformats.org/officeDocument/2006/docPropsVTypes"/>
</file>